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ED7588">
      <w:pPr>
        <w:jc w:val="center"/>
        <w:rPr>
          <w:rFonts w:hint="default" w:ascii="Times New Roman" w:hAnsi="Times New Roman" w:cs="Times New Roman"/>
          <w:b/>
          <w:bCs/>
          <w:color w:val="auto"/>
          <w:sz w:val="24"/>
          <w:szCs w:val="24"/>
          <w:lang w:val="en-US" w:eastAsia="zh-CN"/>
        </w:rPr>
      </w:pPr>
      <w:bookmarkStart w:id="0" w:name="_GoBack"/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  <w:lang w:val="en-US" w:eastAsia="zh-CN"/>
        </w:rPr>
        <w:t>Appendices</w:t>
      </w:r>
    </w:p>
    <w:p w14:paraId="15D9923A">
      <w:pPr>
        <w:rPr>
          <w:rFonts w:hint="default"/>
          <w:color w:val="auto"/>
          <w:lang w:val="en-US" w:eastAsia="zh-CN"/>
        </w:rPr>
      </w:pPr>
    </w:p>
    <w:p w14:paraId="7764C490">
      <w:pPr>
        <w:rPr>
          <w:rFonts w:hint="default" w:ascii="Times New Roman" w:hAnsi="Times New Roman" w:cs="Times New Roman"/>
          <w:b/>
          <w:bCs/>
          <w:color w:val="auto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color w:val="auto"/>
          <w:lang w:val="en-US" w:eastAsia="zh-CN"/>
        </w:rPr>
        <w:t>Purpose of appendices</w:t>
      </w:r>
    </w:p>
    <w:p w14:paraId="060D495C">
      <w:pPr>
        <w:rPr>
          <w:rFonts w:hint="default" w:ascii="Times New Roman" w:hAnsi="Times New Roman" w:cs="Times New Roman"/>
          <w:color w:val="auto"/>
          <w:lang w:val="en-US" w:eastAsia="zh-CN"/>
        </w:rPr>
      </w:pPr>
      <w:r>
        <w:rPr>
          <w:rFonts w:hint="default" w:ascii="Times New Roman" w:hAnsi="Times New Roman" w:cs="Times New Roman"/>
          <w:color w:val="auto"/>
          <w:lang w:val="en-US" w:eastAsia="zh-CN"/>
        </w:rPr>
        <w:t>This appendices present the operational definitions, formulas, interpretation thresholds, preprocessing rules, and supplementary empirical results for the DRG-Based Profitability–Efficiency Mapping (DRG-PEM) framework. The materials are organized sequentially as Appendix 1–Appendix 7, covering core formulas, variable definitions, preprocessing and decision rules, scenario-simulation protocol, department-level observed indicators, scenario-simulation outputs, and department-level stability and eligibility information.</w:t>
      </w:r>
    </w:p>
    <w:p w14:paraId="313C0ADC">
      <w:pPr>
        <w:rPr>
          <w:rFonts w:hint="default" w:ascii="Times New Roman" w:hAnsi="Times New Roman" w:cs="Times New Roman"/>
          <w:color w:val="auto"/>
          <w:lang w:val="en-US" w:eastAsia="zh-CN"/>
        </w:rPr>
      </w:pPr>
    </w:p>
    <w:p w14:paraId="229987C6">
      <w:pPr>
        <w:rPr>
          <w:rFonts w:hint="default" w:ascii="Times New Roman" w:hAnsi="Times New Roman" w:cs="Times New Roman"/>
          <w:color w:val="auto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color w:val="auto"/>
          <w:lang w:val="en-US" w:eastAsia="zh-CN"/>
        </w:rPr>
        <w:t xml:space="preserve">Appendix 1. </w:t>
      </w:r>
      <w:r>
        <w:rPr>
          <w:rFonts w:hint="default" w:ascii="Times New Roman" w:hAnsi="Times New Roman" w:cs="Times New Roman"/>
          <w:color w:val="auto"/>
          <w:lang w:val="en-US" w:eastAsia="zh-CN"/>
        </w:rPr>
        <w:t>Core formulas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31"/>
        <w:gridCol w:w="5484"/>
        <w:gridCol w:w="5359"/>
      </w:tblGrid>
      <w:tr w14:paraId="70B652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1" w:type="dxa"/>
            <w:tcBorders>
              <w:left w:val="nil"/>
              <w:bottom w:val="single" w:color="auto" w:sz="4" w:space="0"/>
              <w:right w:val="nil"/>
            </w:tcBorders>
          </w:tcPr>
          <w:p w14:paraId="17833BF5">
            <w:pPr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Formula item</w:t>
            </w:r>
          </w:p>
        </w:tc>
        <w:tc>
          <w:tcPr>
            <w:tcW w:w="5484" w:type="dxa"/>
            <w:tcBorders>
              <w:left w:val="nil"/>
              <w:bottom w:val="single" w:color="auto" w:sz="4" w:space="0"/>
              <w:right w:val="nil"/>
            </w:tcBorders>
          </w:tcPr>
          <w:p w14:paraId="1A0D6751">
            <w:pPr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Formula</w:t>
            </w:r>
          </w:p>
        </w:tc>
        <w:tc>
          <w:tcPr>
            <w:tcW w:w="5359" w:type="dxa"/>
            <w:tcBorders>
              <w:left w:val="nil"/>
              <w:bottom w:val="single" w:color="auto" w:sz="4" w:space="0"/>
              <w:right w:val="nil"/>
            </w:tcBorders>
          </w:tcPr>
          <w:p w14:paraId="173C298C">
            <w:pPr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Interpretation</w:t>
            </w:r>
          </w:p>
        </w:tc>
      </w:tr>
      <w:tr w14:paraId="3CF23C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1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143E7234">
            <w:pPr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Structural Efficiency Score (SES)</w:t>
            </w:r>
          </w:p>
        </w:tc>
        <w:tc>
          <w:tcPr>
            <w:tcW w:w="548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63E63157">
            <w:pPr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SES = { [ (Total CHS weight / Total cases) / Average cost ] / maximum value of [ (Total CHS weight / Total cases) / Average cost ] among all departments } × 100</w:t>
            </w:r>
          </w:p>
          <w:p w14:paraId="5F2D93FB">
            <w:pPr>
              <w:rPr>
                <w:rFonts w:hint="default" w:eastAsiaTheme="minorEastAsia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Note:Because average cost is defined as total cost divided by total cases, the unnormalized SES component is algebraically equivalent to total CHS weight divided by total cost.</w:t>
            </w:r>
          </w:p>
        </w:tc>
        <w:tc>
          <w:tcPr>
            <w:tcW w:w="5359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23A0DFFA">
            <w:pPr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An internally normalized cost-adjusted weighted-output index was used to compare department-level DRG output per unit cost. After substitution, the case-count term does not serve as an independent weighting factor but is retained to indicate that average case-mix weight is first constructed at the department level.</w:t>
            </w:r>
          </w:p>
        </w:tc>
      </w:tr>
      <w:tr w14:paraId="11235D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</w:tcPr>
          <w:p w14:paraId="2570A3EE">
            <w:pPr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DRG-group theoretical reimbursement</w:t>
            </w:r>
          </w:p>
        </w:tc>
        <w:tc>
          <w:tcPr>
            <w:tcW w:w="5484" w:type="dxa"/>
            <w:tcBorders>
              <w:top w:val="nil"/>
              <w:left w:val="nil"/>
              <w:bottom w:val="nil"/>
              <w:right w:val="nil"/>
            </w:tcBorders>
          </w:tcPr>
          <w:p w14:paraId="3FD1321C">
            <w:pPr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Theoretical reimbursement = DRG weight × BaseRate</w:t>
            </w:r>
          </w:p>
        </w:tc>
        <w:tc>
          <w:tcPr>
            <w:tcW w:w="5359" w:type="dxa"/>
            <w:tcBorders>
              <w:top w:val="nil"/>
              <w:left w:val="nil"/>
              <w:bottom w:val="nil"/>
              <w:right w:val="nil"/>
            </w:tcBorders>
          </w:tcPr>
          <w:p w14:paraId="719A78D4">
            <w:pPr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BaseRate = ¥13,919.54 in the 2023 analytical dataset.</w:t>
            </w:r>
          </w:p>
        </w:tc>
      </w:tr>
      <w:tr w14:paraId="7D2599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</w:tcPr>
          <w:p w14:paraId="1170FD04">
            <w:pPr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Absolute Weight–Cost Deviation Index (WCDI)</w:t>
            </w:r>
          </w:p>
        </w:tc>
        <w:tc>
          <w:tcPr>
            <w:tcW w:w="5484" w:type="dxa"/>
            <w:tcBorders>
              <w:top w:val="nil"/>
              <w:left w:val="nil"/>
              <w:bottom w:val="nil"/>
              <w:right w:val="nil"/>
            </w:tcBorders>
          </w:tcPr>
          <w:p w14:paraId="2D4D9861">
            <w:pPr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WCDI = | Theoretical reimbursement − Actual cost | / Actual cost × 100%</w:t>
            </w:r>
          </w:p>
        </w:tc>
        <w:tc>
          <w:tcPr>
            <w:tcW w:w="5359" w:type="dxa"/>
            <w:tcBorders>
              <w:top w:val="nil"/>
              <w:left w:val="nil"/>
              <w:bottom w:val="nil"/>
              <w:right w:val="nil"/>
            </w:tcBorders>
          </w:tcPr>
          <w:p w14:paraId="0E5B256D">
            <w:pPr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Measures the absolute magnitude of reimbursement–cost deviation.</w:t>
            </w:r>
          </w:p>
        </w:tc>
      </w:tr>
      <w:tr w14:paraId="065C28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</w:tcPr>
          <w:p w14:paraId="7AE1D0C7">
            <w:pPr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Signed deviation for directionality</w:t>
            </w:r>
          </w:p>
        </w:tc>
        <w:tc>
          <w:tcPr>
            <w:tcW w:w="5484" w:type="dxa"/>
            <w:tcBorders>
              <w:top w:val="nil"/>
              <w:left w:val="nil"/>
              <w:bottom w:val="nil"/>
              <w:right w:val="nil"/>
            </w:tcBorders>
          </w:tcPr>
          <w:p w14:paraId="330F13B4">
            <w:pPr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Signed deviation = (Theoretical reimbursement − Actual cost) / Actual cost × 100%</w:t>
            </w:r>
          </w:p>
        </w:tc>
        <w:tc>
          <w:tcPr>
            <w:tcW w:w="5359" w:type="dxa"/>
            <w:tcBorders>
              <w:top w:val="nil"/>
              <w:left w:val="nil"/>
              <w:bottom w:val="nil"/>
              <w:right w:val="nil"/>
            </w:tcBorders>
          </w:tcPr>
          <w:p w14:paraId="4D7E9339">
            <w:pPr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Indicates whether reimbursement is above or below observed cost.</w:t>
            </w:r>
          </w:p>
        </w:tc>
      </w:tr>
      <w:tr w14:paraId="02A59B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</w:tcPr>
          <w:p w14:paraId="45781F01">
            <w:pPr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Department-level directional context</w:t>
            </w:r>
          </w:p>
        </w:tc>
        <w:tc>
          <w:tcPr>
            <w:tcW w:w="5484" w:type="dxa"/>
            <w:tcBorders>
              <w:top w:val="nil"/>
              <w:left w:val="nil"/>
              <w:bottom w:val="nil"/>
              <w:right w:val="nil"/>
            </w:tcBorders>
          </w:tcPr>
          <w:p w14:paraId="011C94D5">
            <w:pPr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Department-level signed deviation = Average profit or loss per case / Average cost per case × 100%</w:t>
            </w:r>
          </w:p>
        </w:tc>
        <w:tc>
          <w:tcPr>
            <w:tcW w:w="5359" w:type="dxa"/>
            <w:tcBorders>
              <w:top w:val="nil"/>
              <w:left w:val="nil"/>
              <w:bottom w:val="nil"/>
              <w:right w:val="nil"/>
            </w:tcBorders>
          </w:tcPr>
          <w:p w14:paraId="3E7266D7">
            <w:pPr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Describes the financial direction at the department level.</w:t>
            </w:r>
          </w:p>
        </w:tc>
      </w:tr>
      <w:tr w14:paraId="19B08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</w:tcPr>
          <w:p w14:paraId="5C444655">
            <w:pPr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Department-level reimbursement-to-cost ratio</w:t>
            </w:r>
          </w:p>
        </w:tc>
        <w:tc>
          <w:tcPr>
            <w:tcW w:w="5484" w:type="dxa"/>
            <w:tcBorders>
              <w:top w:val="nil"/>
              <w:left w:val="nil"/>
              <w:bottom w:val="nil"/>
              <w:right w:val="nil"/>
            </w:tcBorders>
          </w:tcPr>
          <w:p w14:paraId="7D039732">
            <w:pPr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RCR = 1 + Department-level signed deviation</w:t>
            </w:r>
          </w:p>
        </w:tc>
        <w:tc>
          <w:tcPr>
            <w:tcW w:w="5359" w:type="dxa"/>
            <w:tcBorders>
              <w:top w:val="nil"/>
              <w:left w:val="nil"/>
              <w:bottom w:val="nil"/>
              <w:right w:val="nil"/>
            </w:tcBorders>
          </w:tcPr>
          <w:p w14:paraId="53673A6D">
            <w:pPr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Indicates the ratio between reimbursement and cost at the department level. If signed deviation is expressed as a percentage, use RCR = 1 + Department-level signed deviation / 100.</w:t>
            </w:r>
          </w:p>
        </w:tc>
      </w:tr>
      <w:tr w14:paraId="1CEFCB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1" w:type="dxa"/>
            <w:tcBorders>
              <w:top w:val="nil"/>
              <w:left w:val="nil"/>
              <w:right w:val="nil"/>
            </w:tcBorders>
          </w:tcPr>
          <w:p w14:paraId="6A144E81">
            <w:pPr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Scenario-simulation RCR</w:t>
            </w:r>
          </w:p>
        </w:tc>
        <w:tc>
          <w:tcPr>
            <w:tcW w:w="5484" w:type="dxa"/>
            <w:tcBorders>
              <w:top w:val="nil"/>
              <w:left w:val="nil"/>
              <w:right w:val="nil"/>
            </w:tcBorders>
          </w:tcPr>
          <w:p w14:paraId="4F27DE54">
            <w:pPr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Scenario-simulation RCR = Simulated theoretical reimbursement / Observed actual cost</w:t>
            </w:r>
          </w:p>
        </w:tc>
        <w:tc>
          <w:tcPr>
            <w:tcW w:w="5359" w:type="dxa"/>
            <w:tcBorders>
              <w:top w:val="nil"/>
              <w:left w:val="nil"/>
              <w:right w:val="nil"/>
            </w:tcBorders>
          </w:tcPr>
          <w:p w14:paraId="55D1B01C">
            <w:pPr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Measures the reimbursement-to-cost ratio after simulated DRG weight adjustment.</w:t>
            </w:r>
          </w:p>
        </w:tc>
      </w:tr>
    </w:tbl>
    <w:p w14:paraId="6EA1A12C">
      <w:pPr>
        <w:rPr>
          <w:rFonts w:hint="default" w:ascii="Times New Roman" w:hAnsi="Times New Roman" w:cs="Times New Roman"/>
          <w:color w:val="auto"/>
          <w:lang w:val="en-US" w:eastAsia="zh-CN"/>
        </w:rPr>
      </w:pPr>
    </w:p>
    <w:p w14:paraId="585135B7">
      <w:pPr>
        <w:rPr>
          <w:rFonts w:hint="default" w:ascii="Times New Roman" w:hAnsi="Times New Roman" w:cs="Times New Roman"/>
          <w:color w:val="auto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color w:val="auto"/>
          <w:lang w:val="en-US" w:eastAsia="zh-CN"/>
        </w:rPr>
        <w:t>Appendix 2</w:t>
      </w:r>
      <w:r>
        <w:rPr>
          <w:rFonts w:hint="default" w:ascii="Times New Roman" w:hAnsi="Times New Roman" w:cs="Times New Roman"/>
          <w:color w:val="auto"/>
          <w:lang w:val="en-US" w:eastAsia="zh-CN"/>
        </w:rPr>
        <w:t>. Variable definitions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5"/>
        <w:gridCol w:w="11959"/>
      </w:tblGrid>
      <w:tr w14:paraId="7F10B7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5" w:type="dxa"/>
            <w:tcBorders>
              <w:left w:val="nil"/>
              <w:bottom w:val="single" w:color="auto" w:sz="4" w:space="0"/>
              <w:right w:val="nil"/>
            </w:tcBorders>
          </w:tcPr>
          <w:p w14:paraId="2491F4D6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Variable</w:t>
            </w:r>
          </w:p>
        </w:tc>
        <w:tc>
          <w:tcPr>
            <w:tcW w:w="11959" w:type="dxa"/>
            <w:tcBorders>
              <w:left w:val="nil"/>
              <w:bottom w:val="single" w:color="auto" w:sz="4" w:space="0"/>
              <w:right w:val="nil"/>
            </w:tcBorders>
          </w:tcPr>
          <w:p w14:paraId="49461B63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Definition</w:t>
            </w:r>
          </w:p>
        </w:tc>
      </w:tr>
      <w:tr w14:paraId="2EDBB7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20DABF42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Cases</w:t>
            </w:r>
          </w:p>
        </w:tc>
        <w:tc>
          <w:tcPr>
            <w:tcW w:w="11959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79355592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Number of discharged inpatient cases in the department.</w:t>
            </w:r>
          </w:p>
        </w:tc>
      </w:tr>
      <w:tr w14:paraId="54E57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5" w:type="dxa"/>
            <w:tcBorders>
              <w:top w:val="nil"/>
              <w:left w:val="nil"/>
              <w:bottom w:val="nil"/>
              <w:right w:val="nil"/>
            </w:tcBorders>
          </w:tcPr>
          <w:p w14:paraId="272D0D19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DRG group records</w:t>
            </w:r>
          </w:p>
        </w:tc>
        <w:tc>
          <w:tcPr>
            <w:tcW w:w="11959" w:type="dxa"/>
            <w:tcBorders>
              <w:top w:val="nil"/>
              <w:left w:val="nil"/>
              <w:bottom w:val="nil"/>
              <w:right w:val="nil"/>
            </w:tcBorders>
          </w:tcPr>
          <w:p w14:paraId="2833D717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Department–DRG rows contained in the analytical workbook; repeated DRG codes across subunits were retained as separate department–DRG records when they represented distinct reporting units.</w:t>
            </w:r>
          </w:p>
        </w:tc>
      </w:tr>
      <w:tr w14:paraId="4ABE5F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5" w:type="dxa"/>
            <w:tcBorders>
              <w:top w:val="nil"/>
              <w:left w:val="nil"/>
              <w:bottom w:val="nil"/>
              <w:right w:val="nil"/>
            </w:tcBorders>
          </w:tcPr>
          <w:p w14:paraId="599E6366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Unique DRG codes</w:t>
            </w:r>
          </w:p>
        </w:tc>
        <w:tc>
          <w:tcPr>
            <w:tcW w:w="11959" w:type="dxa"/>
            <w:tcBorders>
              <w:top w:val="nil"/>
              <w:left w:val="nil"/>
              <w:bottom w:val="nil"/>
              <w:right w:val="nil"/>
            </w:tcBorders>
          </w:tcPr>
          <w:p w14:paraId="178AA4CA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Number of distinct DRG codes observed within a department after combining subunits mapped to the same manuscript department.</w:t>
            </w:r>
          </w:p>
        </w:tc>
      </w:tr>
      <w:tr w14:paraId="1DCD72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5" w:type="dxa"/>
            <w:tcBorders>
              <w:top w:val="nil"/>
              <w:left w:val="nil"/>
              <w:bottom w:val="nil"/>
              <w:right w:val="nil"/>
            </w:tcBorders>
          </w:tcPr>
          <w:p w14:paraId="10107F4D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AvgCost / AC</w:t>
            </w:r>
          </w:p>
        </w:tc>
        <w:tc>
          <w:tcPr>
            <w:tcW w:w="11959" w:type="dxa"/>
            <w:tcBorders>
              <w:top w:val="nil"/>
              <w:left w:val="nil"/>
              <w:bottom w:val="nil"/>
              <w:right w:val="nil"/>
            </w:tcBorders>
          </w:tcPr>
          <w:p w14:paraId="1359CCA6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Average inpatient cost per case in the department or DRG group. Unless otherwise specified, department-level average cost was calculated as total department cost divided by total department cases.</w:t>
            </w:r>
          </w:p>
        </w:tc>
      </w:tr>
      <w:tr w14:paraId="1EEA3E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5" w:type="dxa"/>
            <w:tcBorders>
              <w:top w:val="nil"/>
              <w:left w:val="nil"/>
              <w:bottom w:val="nil"/>
              <w:right w:val="nil"/>
            </w:tcBorders>
          </w:tcPr>
          <w:p w14:paraId="73A4E237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DRGWeight</w:t>
            </w:r>
          </w:p>
        </w:tc>
        <w:tc>
          <w:tcPr>
            <w:tcW w:w="11959" w:type="dxa"/>
            <w:tcBorders>
              <w:top w:val="nil"/>
              <w:left w:val="nil"/>
              <w:bottom w:val="nil"/>
              <w:right w:val="nil"/>
            </w:tcBorders>
          </w:tcPr>
          <w:p w14:paraId="3E62914B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Assigned DRG service weight for the relevant DRG group.</w:t>
            </w:r>
          </w:p>
        </w:tc>
      </w:tr>
      <w:tr w14:paraId="5354EE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5" w:type="dxa"/>
            <w:tcBorders>
              <w:top w:val="nil"/>
              <w:left w:val="nil"/>
              <w:bottom w:val="nil"/>
              <w:right w:val="nil"/>
            </w:tcBorders>
          </w:tcPr>
          <w:p w14:paraId="7B530A4C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BaseRate</w:t>
            </w:r>
          </w:p>
        </w:tc>
        <w:tc>
          <w:tcPr>
            <w:tcW w:w="11959" w:type="dxa"/>
            <w:tcBorders>
              <w:top w:val="nil"/>
              <w:left w:val="nil"/>
              <w:bottom w:val="nil"/>
              <w:right w:val="nil"/>
            </w:tcBorders>
          </w:tcPr>
          <w:p w14:paraId="2212B152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Benchmark payment rate applied in the DRG reimbursement rule; the 2023 workbook used ¥13,919.54.</w:t>
            </w:r>
          </w:p>
        </w:tc>
      </w:tr>
      <w:tr w14:paraId="6F29C3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5" w:type="dxa"/>
            <w:tcBorders>
              <w:top w:val="nil"/>
              <w:left w:val="nil"/>
              <w:bottom w:val="nil"/>
              <w:right w:val="nil"/>
            </w:tcBorders>
          </w:tcPr>
          <w:p w14:paraId="62BD490E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CMI</w:t>
            </w:r>
          </w:p>
        </w:tc>
        <w:tc>
          <w:tcPr>
            <w:tcW w:w="11959" w:type="dxa"/>
            <w:tcBorders>
              <w:top w:val="nil"/>
              <w:left w:val="nil"/>
              <w:bottom w:val="nil"/>
              <w:right w:val="nil"/>
            </w:tcBorders>
          </w:tcPr>
          <w:p w14:paraId="3F7A80C5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Case Mix Index, representing average case complexity and expected resource intensity.</w:t>
            </w:r>
          </w:p>
        </w:tc>
      </w:tr>
      <w:tr w14:paraId="683C5E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5" w:type="dxa"/>
            <w:tcBorders>
              <w:top w:val="nil"/>
              <w:left w:val="nil"/>
              <w:bottom w:val="nil"/>
              <w:right w:val="nil"/>
            </w:tcBorders>
          </w:tcPr>
          <w:p w14:paraId="62C34868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Average profit or loss per case</w:t>
            </w:r>
          </w:p>
        </w:tc>
        <w:tc>
          <w:tcPr>
            <w:tcW w:w="11959" w:type="dxa"/>
            <w:tcBorders>
              <w:top w:val="nil"/>
              <w:left w:val="nil"/>
              <w:bottom w:val="nil"/>
              <w:right w:val="nil"/>
            </w:tcBorders>
          </w:tcPr>
          <w:p w14:paraId="4B5C6348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Difference between DRG-based reimbursement and observed cost at the departmental level.</w:t>
            </w:r>
          </w:p>
        </w:tc>
      </w:tr>
      <w:tr w14:paraId="121745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5" w:type="dxa"/>
            <w:tcBorders>
              <w:top w:val="nil"/>
              <w:left w:val="nil"/>
              <w:bottom w:val="nil"/>
              <w:right w:val="nil"/>
            </w:tcBorders>
          </w:tcPr>
          <w:p w14:paraId="06CF1FF5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WCDI</w:t>
            </w:r>
          </w:p>
        </w:tc>
        <w:tc>
          <w:tcPr>
            <w:tcW w:w="11959" w:type="dxa"/>
            <w:tcBorders>
              <w:top w:val="nil"/>
              <w:left w:val="nil"/>
              <w:bottom w:val="nil"/>
              <w:right w:val="nil"/>
            </w:tcBorders>
          </w:tcPr>
          <w:p w14:paraId="2C89BECF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Absolute magnitude of reimbursement–cost deviation, reported together with SignedDev and RCR to describe both deviation size and direction.</w:t>
            </w:r>
          </w:p>
        </w:tc>
      </w:tr>
      <w:tr w14:paraId="333BA4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5" w:type="dxa"/>
            <w:tcBorders>
              <w:top w:val="nil"/>
              <w:left w:val="nil"/>
              <w:bottom w:val="nil"/>
              <w:right w:val="nil"/>
            </w:tcBorders>
          </w:tcPr>
          <w:p w14:paraId="15209DBC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SignedDev</w:t>
            </w:r>
          </w:p>
        </w:tc>
        <w:tc>
          <w:tcPr>
            <w:tcW w:w="11959" w:type="dxa"/>
            <w:tcBorders>
              <w:top w:val="nil"/>
              <w:left w:val="nil"/>
              <w:bottom w:val="nil"/>
              <w:right w:val="nil"/>
            </w:tcBorders>
          </w:tcPr>
          <w:p w14:paraId="70407B96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Directional deviation. Positive values indicate reimbursement exceeds observed cost; negative values indicate reimbursement is below observed cost.</w:t>
            </w:r>
          </w:p>
        </w:tc>
      </w:tr>
      <w:tr w14:paraId="192447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5" w:type="dxa"/>
            <w:tcBorders>
              <w:top w:val="nil"/>
              <w:left w:val="nil"/>
              <w:right w:val="nil"/>
            </w:tcBorders>
          </w:tcPr>
          <w:p w14:paraId="38771958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RCR</w:t>
            </w:r>
          </w:p>
        </w:tc>
        <w:tc>
          <w:tcPr>
            <w:tcW w:w="11959" w:type="dxa"/>
            <w:tcBorders>
              <w:top w:val="nil"/>
              <w:left w:val="nil"/>
              <w:right w:val="nil"/>
            </w:tcBorders>
          </w:tcPr>
          <w:p w14:paraId="059CFBA3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Reimbursement-to-cost ratio. Values above 1.00 indicate reimbursement exceeds observed cost; values below 1.00 indicate under-reimbursement.</w:t>
            </w:r>
          </w:p>
        </w:tc>
      </w:tr>
    </w:tbl>
    <w:p w14:paraId="2AB3BEC5">
      <w:pPr>
        <w:rPr>
          <w:rFonts w:hint="default" w:ascii="Times New Roman" w:hAnsi="Times New Roman" w:cs="Times New Roman"/>
          <w:color w:val="auto"/>
          <w:lang w:val="en-US" w:eastAsia="zh-CN"/>
        </w:rPr>
      </w:pPr>
    </w:p>
    <w:p w14:paraId="02CB6F8C">
      <w:pPr>
        <w:rPr>
          <w:rFonts w:hint="default" w:ascii="Times New Roman" w:hAnsi="Times New Roman" w:cs="Times New Roman"/>
          <w:color w:val="auto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color w:val="auto"/>
          <w:lang w:val="en-US" w:eastAsia="zh-CN"/>
        </w:rPr>
        <w:t>Appendix 3</w:t>
      </w:r>
      <w:r>
        <w:rPr>
          <w:rFonts w:hint="default" w:ascii="Times New Roman" w:hAnsi="Times New Roman" w:cs="Times New Roman"/>
          <w:color w:val="auto"/>
          <w:lang w:val="en-US" w:eastAsia="zh-CN"/>
        </w:rPr>
        <w:t>. Data preprocessing, interpretation thresholds, and decision rules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9"/>
        <w:gridCol w:w="11635"/>
      </w:tblGrid>
      <w:tr w14:paraId="415FF4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9" w:type="dxa"/>
            <w:tcBorders>
              <w:left w:val="nil"/>
              <w:bottom w:val="single" w:color="auto" w:sz="4" w:space="0"/>
              <w:right w:val="nil"/>
            </w:tcBorders>
          </w:tcPr>
          <w:p w14:paraId="6F3D0CE7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Section</w:t>
            </w:r>
          </w:p>
        </w:tc>
        <w:tc>
          <w:tcPr>
            <w:tcW w:w="11635" w:type="dxa"/>
            <w:tcBorders>
              <w:left w:val="nil"/>
              <w:bottom w:val="single" w:color="auto" w:sz="4" w:space="0"/>
              <w:right w:val="nil"/>
            </w:tcBorders>
          </w:tcPr>
          <w:p w14:paraId="2A78D94D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Rule / Content</w:t>
            </w:r>
          </w:p>
        </w:tc>
      </w:tr>
      <w:tr w14:paraId="48409B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9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610A2058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Analytical sample</w:t>
            </w:r>
          </w:p>
        </w:tc>
        <w:tc>
          <w:tcPr>
            <w:tcW w:w="1163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073D2C8E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The analytical sample contained 29 manuscript departments, 25,379 discharges, 1,962 department–DRG group records, and 595 unique DRG codes.</w:t>
            </w:r>
          </w:p>
        </w:tc>
      </w:tr>
      <w:tr w14:paraId="1DF6E4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9" w:type="dxa"/>
          </w:tcPr>
          <w:p w14:paraId="41667B29">
            <w:pPr>
              <w:rPr>
                <w:color w:val="auto"/>
              </w:rPr>
            </w:pPr>
          </w:p>
        </w:tc>
        <w:tc>
          <w:tcPr>
            <w:tcW w:w="11635" w:type="dxa"/>
          </w:tcPr>
          <w:p w14:paraId="08C39C58">
            <w:pPr>
              <w:rPr>
                <w:color w:val="auto"/>
              </w:rPr>
            </w:pPr>
          </w:p>
        </w:tc>
      </w:tr>
      <w:tr w14:paraId="09D103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14:paraId="47DDC000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Inclusion criteria</w:t>
            </w:r>
          </w:p>
        </w:tc>
        <w:tc>
          <w:tcPr>
            <w:tcW w:w="11635" w:type="dxa"/>
            <w:tcBorders>
              <w:top w:val="nil"/>
              <w:left w:val="nil"/>
              <w:bottom w:val="nil"/>
              <w:right w:val="nil"/>
            </w:tcBorders>
          </w:tcPr>
          <w:p w14:paraId="428F3CDF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Records were included when department, DRG code, discharge count, weight, benchmark payment, and observed cost were complete.</w:t>
            </w:r>
          </w:p>
        </w:tc>
      </w:tr>
      <w:tr w14:paraId="16215D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14:paraId="6854A8AD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color w:val="auto"/>
              </w:rPr>
              <w:t>Outlier and sparse-record handling</w:t>
            </w:r>
          </w:p>
        </w:tc>
        <w:tc>
          <w:tcPr>
            <w:tcW w:w="11635" w:type="dxa"/>
            <w:tcBorders>
              <w:top w:val="nil"/>
              <w:left w:val="nil"/>
              <w:bottom w:val="nil"/>
              <w:right w:val="nil"/>
            </w:tcBorders>
          </w:tcPr>
          <w:p w14:paraId="3353498D">
            <w:pPr>
              <w:jc w:val="both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No DRG-group record was excluded or trimmed solely because of extreme average cost or low discharge count. Records with complete and internally consistent values from the hospital DRG management and cost-accounting systems were retained; low-volume and sparse DRG-code structures were flagged using discharge totals, group-record counts, and unique DRG-code counts in Appendices 5 and 7. This retention strategy preserved the administrative dataset, while WCDI estimates for small groups require cautious interpretation.</w:t>
            </w:r>
          </w:p>
        </w:tc>
      </w:tr>
      <w:tr w14:paraId="34CA9F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14:paraId="1B4CF66F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Stability description</w:t>
            </w:r>
          </w:p>
        </w:tc>
        <w:tc>
          <w:tcPr>
            <w:tcW w:w="11635" w:type="dxa"/>
            <w:tcBorders>
              <w:top w:val="nil"/>
              <w:left w:val="nil"/>
              <w:bottom w:val="nil"/>
              <w:right w:val="nil"/>
            </w:tcBorders>
          </w:tcPr>
          <w:p w14:paraId="27018F26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Appendix 5 reports discharge volume, group-record counts, and unique DRG-code counts to describe the distribution and stability of departmental observations.</w:t>
            </w:r>
          </w:p>
        </w:tc>
      </w:tr>
      <w:tr w14:paraId="6CCA52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14:paraId="44D68CEA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WCDI interpretation thresholds</w:t>
            </w:r>
          </w:p>
        </w:tc>
        <w:tc>
          <w:tcPr>
            <w:tcW w:w="11635" w:type="dxa"/>
            <w:tcBorders>
              <w:top w:val="nil"/>
              <w:left w:val="nil"/>
              <w:bottom w:val="nil"/>
              <w:right w:val="nil"/>
            </w:tcBorders>
          </w:tcPr>
          <w:p w14:paraId="487C1CDB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WCDI was interpreted using four diagnostic intervals: 0–10% = well aligned; &gt;10–20% = mild deviation; &gt;20–40% = moderate deviation; &gt;40% = severe deviation.</w:t>
            </w:r>
          </w:p>
        </w:tc>
      </w:tr>
      <w:tr w14:paraId="6C8D25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14:paraId="5BA30EC8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Threshold application</w:t>
            </w:r>
          </w:p>
        </w:tc>
        <w:tc>
          <w:tcPr>
            <w:tcW w:w="11635" w:type="dxa"/>
            <w:tcBorders>
              <w:top w:val="nil"/>
              <w:left w:val="nil"/>
              <w:bottom w:val="nil"/>
              <w:right w:val="nil"/>
            </w:tcBorders>
          </w:tcPr>
          <w:p w14:paraId="55E6AD1E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These thresholds were used for internal prioritization of reimbursement–cost deviation and department-level management assessment.</w:t>
            </w:r>
          </w:p>
        </w:tc>
      </w:tr>
      <w:tr w14:paraId="7E6F2D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14:paraId="439281F6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Complexity classification</w:t>
            </w:r>
          </w:p>
        </w:tc>
        <w:tc>
          <w:tcPr>
            <w:tcW w:w="11635" w:type="dxa"/>
            <w:tcBorders>
              <w:top w:val="nil"/>
              <w:left w:val="nil"/>
              <w:bottom w:val="nil"/>
              <w:right w:val="nil"/>
            </w:tcBorders>
          </w:tcPr>
          <w:p w14:paraId="714CDD30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Departments were classified as high-complexity when CMI ≥1.00 and low-complexity when CMI &lt;1.00.</w:t>
            </w:r>
          </w:p>
        </w:tc>
      </w:tr>
      <w:tr w14:paraId="576D60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14:paraId="72A5497C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Complexity benchmark</w:t>
            </w:r>
          </w:p>
        </w:tc>
        <w:tc>
          <w:tcPr>
            <w:tcW w:w="11635" w:type="dxa"/>
            <w:tcBorders>
              <w:top w:val="nil"/>
              <w:left w:val="nil"/>
              <w:bottom w:val="nil"/>
              <w:right w:val="nil"/>
            </w:tcBorders>
          </w:tcPr>
          <w:p w14:paraId="1D326D1E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CMI ≥1.00 defines above-average DRG case-mix weight and supports consistent quadrant classification across departments.</w:t>
            </w:r>
          </w:p>
        </w:tc>
      </w:tr>
      <w:tr w14:paraId="607FBF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14:paraId="255CE37D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Financial position</w:t>
            </w:r>
          </w:p>
        </w:tc>
        <w:tc>
          <w:tcPr>
            <w:tcW w:w="11635" w:type="dxa"/>
            <w:tcBorders>
              <w:top w:val="nil"/>
              <w:left w:val="nil"/>
              <w:bottom w:val="nil"/>
              <w:right w:val="nil"/>
            </w:tcBorders>
          </w:tcPr>
          <w:p w14:paraId="740D3A24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Financial position was classified at the break-even point: average profit or loss per case = 0.</w:t>
            </w:r>
          </w:p>
        </w:tc>
      </w:tr>
      <w:tr w14:paraId="2EB14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14:paraId="4A93C9AB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Quadrant rules</w:t>
            </w:r>
          </w:p>
        </w:tc>
        <w:tc>
          <w:tcPr>
            <w:tcW w:w="11635" w:type="dxa"/>
            <w:tcBorders>
              <w:top w:val="nil"/>
              <w:left w:val="nil"/>
              <w:bottom w:val="nil"/>
              <w:right w:val="nil"/>
            </w:tcBorders>
          </w:tcPr>
          <w:p w14:paraId="3E1EC4C4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Quadrant I = high CMI with profit; Quadrant II = high CMI with loss; Quadrant III = low CMI with loss; Quadrant IV = low CMI with profit.</w:t>
            </w:r>
          </w:p>
        </w:tc>
      </w:tr>
      <w:tr w14:paraId="17167F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9" w:type="dxa"/>
            <w:tcBorders>
              <w:top w:val="nil"/>
              <w:left w:val="nil"/>
              <w:right w:val="nil"/>
            </w:tcBorders>
          </w:tcPr>
          <w:p w14:paraId="36E2BD56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Integrated interpretation</w:t>
            </w:r>
          </w:p>
        </w:tc>
        <w:tc>
          <w:tcPr>
            <w:tcW w:w="11635" w:type="dxa"/>
            <w:tcBorders>
              <w:top w:val="nil"/>
              <w:left w:val="nil"/>
              <w:right w:val="nil"/>
            </w:tcBorders>
          </w:tcPr>
          <w:p w14:paraId="52D7466B">
            <w:pPr>
              <w:jc w:val="left"/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When the three modules were interpreted together, the analytical priority was to determine whether an unfavorable department profile was driven primarily by low cost-adjusted weighted output, severe absolute reimbursement deviation, adverse signed financial direction, low case-volume stability, or a combination of these factors.</w:t>
            </w:r>
          </w:p>
        </w:tc>
      </w:tr>
    </w:tbl>
    <w:p w14:paraId="6D33E043">
      <w:pPr>
        <w:rPr>
          <w:rFonts w:hint="default" w:ascii="Times New Roman" w:hAnsi="Times New Roman" w:cs="Times New Roman"/>
          <w:color w:val="auto"/>
          <w:lang w:val="en-US" w:eastAsia="zh-CN"/>
        </w:rPr>
      </w:pPr>
    </w:p>
    <w:p w14:paraId="55A3D689">
      <w:pPr>
        <w:rPr>
          <w:rFonts w:hint="default" w:ascii="Times New Roman" w:hAnsi="Times New Roman" w:cs="Times New Roman"/>
          <w:color w:val="auto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color w:val="auto"/>
          <w:lang w:val="en-US" w:eastAsia="zh-CN"/>
        </w:rPr>
        <w:t xml:space="preserve">Appendix </w:t>
      </w:r>
      <w:r>
        <w:rPr>
          <w:rFonts w:hint="eastAsia" w:ascii="Times New Roman" w:hAnsi="Times New Roman" w:cs="Times New Roman"/>
          <w:b/>
          <w:bCs/>
          <w:color w:val="auto"/>
          <w:lang w:val="en-US" w:eastAsia="zh-CN"/>
        </w:rPr>
        <w:t>4</w:t>
      </w:r>
      <w:r>
        <w:rPr>
          <w:rFonts w:hint="default" w:ascii="Times New Roman" w:hAnsi="Times New Roman" w:cs="Times New Roman"/>
          <w:color w:val="auto"/>
          <w:lang w:val="en-US" w:eastAsia="zh-CN"/>
        </w:rPr>
        <w:t>. Scenario simulation protocol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03"/>
        <w:gridCol w:w="11371"/>
      </w:tblGrid>
      <w:tr w14:paraId="05908C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03" w:type="dxa"/>
            <w:tcBorders>
              <w:left w:val="nil"/>
              <w:bottom w:val="single" w:color="auto" w:sz="4" w:space="0"/>
              <w:right w:val="nil"/>
            </w:tcBorders>
          </w:tcPr>
          <w:p w14:paraId="45039E40">
            <w:pPr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Section</w:t>
            </w:r>
          </w:p>
        </w:tc>
        <w:tc>
          <w:tcPr>
            <w:tcW w:w="11371" w:type="dxa"/>
            <w:tcBorders>
              <w:left w:val="nil"/>
              <w:bottom w:val="single" w:color="auto" w:sz="4" w:space="0"/>
              <w:right w:val="nil"/>
            </w:tcBorders>
          </w:tcPr>
          <w:p w14:paraId="766F9065">
            <w:pPr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Protocol / Content</w:t>
            </w:r>
          </w:p>
        </w:tc>
      </w:tr>
      <w:tr w14:paraId="62413A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0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2055F579">
            <w:pPr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Simulation level</w:t>
            </w:r>
          </w:p>
        </w:tc>
        <w:tc>
          <w:tcPr>
            <w:tcW w:w="11371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6A98DDC9">
            <w:pPr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The scenario simulation was implemented at the DRG-group level and summarized at the department level for reporting.</w:t>
            </w:r>
          </w:p>
        </w:tc>
      </w:tr>
      <w:tr w14:paraId="64CF76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 w14:paraId="639BFBFF">
            <w:pPr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Eligible DRG groups</w:t>
            </w:r>
          </w:p>
        </w:tc>
        <w:tc>
          <w:tcPr>
            <w:tcW w:w="11371" w:type="dxa"/>
            <w:tcBorders>
              <w:top w:val="nil"/>
              <w:left w:val="nil"/>
              <w:bottom w:val="nil"/>
              <w:right w:val="nil"/>
            </w:tcBorders>
          </w:tcPr>
          <w:p w14:paraId="479AE9EC">
            <w:pPr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Eligible DRG groups were defined as high-deviation groups with baseline WCDI &gt;40%, theoretical reimbursement below observed cost (TR &lt; AC), complete cost information, and stable department-level case volume in 2023. Eligibility was determined at the department–DRG record level rather than the whole-department level; therefore, department-level WCDI may diverge from DRG-group eligibility.</w:t>
            </w:r>
          </w:p>
        </w:tc>
      </w:tr>
      <w:tr w14:paraId="6BAEC7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 w14:paraId="429581E9">
            <w:pPr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Weight-adjustment scenarios</w:t>
            </w:r>
          </w:p>
        </w:tc>
        <w:tc>
          <w:tcPr>
            <w:tcW w:w="11371" w:type="dxa"/>
            <w:tcBorders>
              <w:top w:val="nil"/>
              <w:left w:val="nil"/>
              <w:bottom w:val="nil"/>
              <w:right w:val="nil"/>
            </w:tcBorders>
          </w:tcPr>
          <w:p w14:paraId="59155375">
            <w:pPr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For each eligible group, the DRG weight was hypothetically increased by 10%, 15%, and 20%.</w:t>
            </w:r>
          </w:p>
        </w:tc>
      </w:tr>
      <w:tr w14:paraId="798ED5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 w14:paraId="304B6E45">
            <w:pPr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Fixed assumptions</w:t>
            </w:r>
          </w:p>
        </w:tc>
        <w:tc>
          <w:tcPr>
            <w:tcW w:w="11371" w:type="dxa"/>
            <w:tcBorders>
              <w:top w:val="nil"/>
              <w:left w:val="nil"/>
              <w:bottom w:val="nil"/>
              <w:right w:val="nil"/>
            </w:tcBorders>
          </w:tcPr>
          <w:p w14:paraId="4EBE4FD3">
            <w:pPr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Observed case mix, discharge volume, coding structure, and cost remained unchanged.</w:t>
            </w:r>
          </w:p>
        </w:tc>
      </w:tr>
      <w:tr w14:paraId="787BA1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 w14:paraId="39645B61">
            <w:pPr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Simulation objective</w:t>
            </w:r>
          </w:p>
        </w:tc>
        <w:tc>
          <w:tcPr>
            <w:tcW w:w="11371" w:type="dxa"/>
            <w:tcBorders>
              <w:top w:val="nil"/>
              <w:left w:val="nil"/>
              <w:bottom w:val="nil"/>
              <w:right w:val="nil"/>
            </w:tcBorders>
          </w:tcPr>
          <w:p w14:paraId="09967269">
            <w:pPr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These increments were used to evaluate changes in reimbursement-to-cost ratios and residual WCDI under alternative DRG weight-adjustment scenarios.</w:t>
            </w:r>
          </w:p>
        </w:tc>
      </w:tr>
      <w:tr w14:paraId="41AF2C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 w14:paraId="7CB98BF6">
            <w:pPr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Reported departments</w:t>
            </w:r>
          </w:p>
        </w:tc>
        <w:tc>
          <w:tcPr>
            <w:tcW w:w="11371" w:type="dxa"/>
            <w:tcBorders>
              <w:top w:val="nil"/>
              <w:left w:val="nil"/>
              <w:bottom w:val="nil"/>
              <w:right w:val="nil"/>
            </w:tcBorders>
          </w:tcPr>
          <w:p w14:paraId="1CA16D6D">
            <w:pPr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Appendix 6 reports departmental simulation outputs for General Practice / Family Medicine, Neurosurgery, Gastroenterology, Thoracic and Cardiovascular Surgery, and Pediatrics.</w:t>
            </w:r>
          </w:p>
        </w:tc>
      </w:tr>
      <w:tr w14:paraId="293F5F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 w14:paraId="5F58D14C">
            <w:pPr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Department selection basis</w:t>
            </w:r>
          </w:p>
        </w:tc>
        <w:tc>
          <w:tcPr>
            <w:tcW w:w="11371" w:type="dxa"/>
            <w:tcBorders>
              <w:top w:val="nil"/>
              <w:left w:val="nil"/>
              <w:bottom w:val="nil"/>
              <w:right w:val="nil"/>
            </w:tcBorders>
          </w:tcPr>
          <w:p w14:paraId="060A42AD">
            <w:pPr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The reported departments were selected as targeted illustrative archetypes rather than an exhaustive eligibility-based sample. Heterogeneous clinical profiles were operationalized according to variation in case complexity, surgical versus non-surgical service type, baseline RCR, and the sensitivity of residual WCDI to proportional weight increases.</w:t>
            </w:r>
          </w:p>
        </w:tc>
      </w:tr>
      <w:tr w14:paraId="11AFBD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0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42B270D2">
            <w:pPr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Full eligibility information</w:t>
            </w:r>
          </w:p>
        </w:tc>
        <w:tc>
          <w:tcPr>
            <w:tcW w:w="11371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71DB1B8E">
            <w:pPr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Appendix 7 reports eligibility and stability information for all departments.</w:t>
            </w:r>
          </w:p>
        </w:tc>
      </w:tr>
    </w:tbl>
    <w:p w14:paraId="7C4C745E">
      <w:pPr>
        <w:rPr>
          <w:rFonts w:hint="default" w:ascii="Times New Roman" w:hAnsi="Times New Roman" w:cs="Times New Roman"/>
          <w:color w:val="auto"/>
          <w:lang w:val="en-US" w:eastAsia="zh-CN"/>
        </w:rPr>
      </w:pPr>
    </w:p>
    <w:p w14:paraId="41A3341C">
      <w:pPr>
        <w:spacing w:line="240" w:lineRule="auto"/>
        <w:rPr>
          <w:rFonts w:hint="default" w:ascii="Times New Roman" w:hAnsi="Times New Roman" w:cs="Times New Roman"/>
          <w:color w:val="auto"/>
          <w:sz w:val="21"/>
          <w:szCs w:val="21"/>
          <w:highlight w:val="none"/>
        </w:rPr>
      </w:pPr>
      <w:r>
        <w:rPr>
          <w:rFonts w:hint="default" w:ascii="Times New Roman" w:hAnsi="Times New Roman" w:cs="Times New Roman"/>
          <w:b/>
          <w:bCs/>
          <w:color w:val="auto"/>
          <w:sz w:val="21"/>
          <w:szCs w:val="21"/>
          <w:highlight w:val="none"/>
        </w:rPr>
        <w:t>Appendix 5</w:t>
      </w:r>
      <w:r>
        <w:rPr>
          <w:rFonts w:hint="default" w:ascii="Times New Roman" w:hAnsi="Times New Roman" w:cs="Times New Roman"/>
          <w:color w:val="auto"/>
          <w:sz w:val="21"/>
          <w:szCs w:val="21"/>
          <w:highlight w:val="none"/>
        </w:rPr>
        <w:t>.</w:t>
      </w:r>
      <w:r>
        <w:rPr>
          <w:rFonts w:hint="eastAsia" w:ascii="Times New Roman" w:hAnsi="Times New Roman" w:cs="Times New Roman"/>
          <w:color w:val="auto"/>
          <w:sz w:val="21"/>
          <w:szCs w:val="21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color w:val="auto"/>
          <w:sz w:val="21"/>
          <w:szCs w:val="21"/>
          <w:highlight w:val="none"/>
        </w:rPr>
        <w:t>Department-level observed indicators with volume, directionality, and stability measures</w:t>
      </w:r>
    </w:p>
    <w:tbl>
      <w:tblPr>
        <w:tblStyle w:val="5"/>
        <w:tblW w:w="5000" w:type="pct"/>
        <w:jc w:val="center"/>
        <w:tblBorders>
          <w:top w:val="single" w:color="808080" w:sz="4" w:space="0"/>
          <w:left w:val="single" w:color="808080" w:sz="4" w:space="0"/>
          <w:bottom w:val="single" w:color="808080" w:sz="4" w:space="0"/>
          <w:right w:val="single" w:color="808080" w:sz="4" w:space="0"/>
          <w:insideH w:val="single" w:color="808080" w:sz="4" w:space="0"/>
          <w:insideV w:val="single" w:color="80808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65"/>
        <w:gridCol w:w="1276"/>
        <w:gridCol w:w="1140"/>
        <w:gridCol w:w="1111"/>
        <w:gridCol w:w="646"/>
        <w:gridCol w:w="1159"/>
        <w:gridCol w:w="1701"/>
        <w:gridCol w:w="794"/>
        <w:gridCol w:w="1193"/>
        <w:gridCol w:w="1021"/>
        <w:gridCol w:w="689"/>
        <w:gridCol w:w="879"/>
      </w:tblGrid>
      <w:tr w14:paraId="38F3F67B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5" w:type="pct"/>
            <w:tcBorders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6A4AB64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Department</w:t>
            </w:r>
          </w:p>
        </w:tc>
        <w:tc>
          <w:tcPr>
            <w:tcW w:w="450" w:type="pct"/>
            <w:tcBorders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54DC6BDF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Total discharges</w:t>
            </w:r>
          </w:p>
        </w:tc>
        <w:tc>
          <w:tcPr>
            <w:tcW w:w="402" w:type="pct"/>
            <w:tcBorders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08FF18D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DRG group records</w:t>
            </w:r>
          </w:p>
        </w:tc>
        <w:tc>
          <w:tcPr>
            <w:tcW w:w="392" w:type="pct"/>
            <w:tcBorders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11D8BA57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Unique DRG codes</w:t>
            </w:r>
          </w:p>
        </w:tc>
        <w:tc>
          <w:tcPr>
            <w:tcW w:w="228" w:type="pct"/>
            <w:tcBorders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50ACF456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CMI</w:t>
            </w:r>
          </w:p>
        </w:tc>
        <w:tc>
          <w:tcPr>
            <w:tcW w:w="409" w:type="pct"/>
            <w:tcBorders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42DE04AC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Avg cost/case (¥)</w:t>
            </w:r>
          </w:p>
        </w:tc>
        <w:tc>
          <w:tcPr>
            <w:tcW w:w="600" w:type="pct"/>
            <w:tcBorders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19EDDF4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Avg profit/loss/case (¥)</w:t>
            </w:r>
          </w:p>
        </w:tc>
        <w:tc>
          <w:tcPr>
            <w:tcW w:w="280" w:type="pct"/>
            <w:tcBorders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46584C6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Dept RCR</w:t>
            </w:r>
          </w:p>
        </w:tc>
        <w:tc>
          <w:tcPr>
            <w:tcW w:w="421" w:type="pct"/>
            <w:tcBorders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69057B2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Signed deviation</w:t>
            </w:r>
          </w:p>
        </w:tc>
        <w:tc>
          <w:tcPr>
            <w:tcW w:w="360" w:type="pct"/>
            <w:tcBorders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0026DAF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Avg DRG weight</w:t>
            </w:r>
          </w:p>
        </w:tc>
        <w:tc>
          <w:tcPr>
            <w:tcW w:w="243" w:type="pct"/>
            <w:tcBorders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6812353C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SES</w:t>
            </w:r>
          </w:p>
        </w:tc>
        <w:tc>
          <w:tcPr>
            <w:tcW w:w="304" w:type="pct"/>
            <w:tcBorders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6B84313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WCDI</w:t>
            </w:r>
          </w:p>
        </w:tc>
      </w:tr>
      <w:tr w14:paraId="00D69226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5" w:type="pct"/>
            <w:tcBorders>
              <w:top w:val="single" w:color="808080" w:sz="4" w:space="0"/>
              <w:left w:val="nil"/>
              <w:bottom w:val="nil"/>
              <w:right w:val="nil"/>
            </w:tcBorders>
            <w:vAlign w:val="center"/>
          </w:tcPr>
          <w:p w14:paraId="291DF4A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Obstetrics</w:t>
            </w:r>
          </w:p>
        </w:tc>
        <w:tc>
          <w:tcPr>
            <w:tcW w:w="450" w:type="pct"/>
            <w:tcBorders>
              <w:top w:val="single" w:color="808080" w:sz="4" w:space="0"/>
              <w:left w:val="nil"/>
              <w:bottom w:val="nil"/>
              <w:right w:val="nil"/>
            </w:tcBorders>
            <w:vAlign w:val="center"/>
          </w:tcPr>
          <w:p w14:paraId="7B1F87B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1,488</w:t>
            </w:r>
          </w:p>
        </w:tc>
        <w:tc>
          <w:tcPr>
            <w:tcW w:w="402" w:type="pct"/>
            <w:tcBorders>
              <w:top w:val="single" w:color="808080" w:sz="4" w:space="0"/>
              <w:left w:val="nil"/>
              <w:bottom w:val="nil"/>
              <w:right w:val="nil"/>
            </w:tcBorders>
            <w:vAlign w:val="center"/>
          </w:tcPr>
          <w:p w14:paraId="77471E4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16</w:t>
            </w:r>
          </w:p>
        </w:tc>
        <w:tc>
          <w:tcPr>
            <w:tcW w:w="392" w:type="pct"/>
            <w:tcBorders>
              <w:top w:val="single" w:color="808080" w:sz="4" w:space="0"/>
              <w:left w:val="nil"/>
              <w:bottom w:val="nil"/>
              <w:right w:val="nil"/>
            </w:tcBorders>
            <w:vAlign w:val="center"/>
          </w:tcPr>
          <w:p w14:paraId="22E1011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9</w:t>
            </w:r>
          </w:p>
        </w:tc>
        <w:tc>
          <w:tcPr>
            <w:tcW w:w="228" w:type="pct"/>
            <w:tcBorders>
              <w:top w:val="single" w:color="808080" w:sz="4" w:space="0"/>
              <w:left w:val="nil"/>
              <w:bottom w:val="nil"/>
              <w:right w:val="nil"/>
            </w:tcBorders>
            <w:vAlign w:val="center"/>
          </w:tcPr>
          <w:p w14:paraId="7796728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0.65</w:t>
            </w:r>
          </w:p>
        </w:tc>
        <w:tc>
          <w:tcPr>
            <w:tcW w:w="409" w:type="pct"/>
            <w:tcBorders>
              <w:top w:val="single" w:color="808080" w:sz="4" w:space="0"/>
              <w:left w:val="nil"/>
              <w:bottom w:val="nil"/>
              <w:right w:val="nil"/>
            </w:tcBorders>
            <w:vAlign w:val="center"/>
          </w:tcPr>
          <w:p w14:paraId="71C234BF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7979.95</w:t>
            </w:r>
          </w:p>
        </w:tc>
        <w:tc>
          <w:tcPr>
            <w:tcW w:w="600" w:type="pct"/>
            <w:tcBorders>
              <w:top w:val="single" w:color="808080" w:sz="4" w:space="0"/>
              <w:left w:val="nil"/>
              <w:bottom w:val="nil"/>
              <w:right w:val="nil"/>
            </w:tcBorders>
            <w:vAlign w:val="center"/>
          </w:tcPr>
          <w:p w14:paraId="34A25FBF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-284.71</w:t>
            </w:r>
          </w:p>
        </w:tc>
        <w:tc>
          <w:tcPr>
            <w:tcW w:w="280" w:type="pct"/>
            <w:tcBorders>
              <w:top w:val="single" w:color="808080" w:sz="4" w:space="0"/>
              <w:left w:val="nil"/>
              <w:bottom w:val="nil"/>
              <w:right w:val="nil"/>
            </w:tcBorders>
            <w:vAlign w:val="center"/>
          </w:tcPr>
          <w:p w14:paraId="040F486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0.964</w:t>
            </w:r>
          </w:p>
        </w:tc>
        <w:tc>
          <w:tcPr>
            <w:tcW w:w="421" w:type="pct"/>
            <w:tcBorders>
              <w:top w:val="single" w:color="808080" w:sz="4" w:space="0"/>
              <w:left w:val="nil"/>
              <w:bottom w:val="nil"/>
              <w:right w:val="nil"/>
            </w:tcBorders>
            <w:vAlign w:val="center"/>
          </w:tcPr>
          <w:p w14:paraId="1E9B318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-3.57%</w:t>
            </w:r>
          </w:p>
        </w:tc>
        <w:tc>
          <w:tcPr>
            <w:tcW w:w="360" w:type="pct"/>
            <w:tcBorders>
              <w:top w:val="single" w:color="808080" w:sz="4" w:space="0"/>
              <w:left w:val="nil"/>
              <w:bottom w:val="nil"/>
              <w:right w:val="nil"/>
            </w:tcBorders>
            <w:vAlign w:val="center"/>
          </w:tcPr>
          <w:p w14:paraId="528C21A7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0.52</w:t>
            </w:r>
          </w:p>
        </w:tc>
        <w:tc>
          <w:tcPr>
            <w:tcW w:w="243" w:type="pct"/>
            <w:tcBorders>
              <w:top w:val="single" w:color="808080" w:sz="4" w:space="0"/>
              <w:left w:val="nil"/>
              <w:bottom w:val="nil"/>
              <w:right w:val="nil"/>
            </w:tcBorders>
            <w:vAlign w:val="center"/>
          </w:tcPr>
          <w:p w14:paraId="23F6786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58.87</w:t>
            </w:r>
          </w:p>
        </w:tc>
        <w:tc>
          <w:tcPr>
            <w:tcW w:w="304" w:type="pct"/>
            <w:tcBorders>
              <w:top w:val="single" w:color="808080" w:sz="4" w:space="0"/>
              <w:left w:val="nil"/>
              <w:bottom w:val="nil"/>
              <w:right w:val="nil"/>
            </w:tcBorders>
            <w:vAlign w:val="center"/>
          </w:tcPr>
          <w:p w14:paraId="181DFAA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39.24%</w:t>
            </w:r>
          </w:p>
        </w:tc>
      </w:tr>
      <w:tr w14:paraId="15E4AF98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7C1EC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Gynecology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6C52E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867</w:t>
            </w: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32755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34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50594C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34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5B3C9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0.83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94E96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11035.11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FA28A7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1719.64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DE61C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1.156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C48D1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15.58%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123446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0.91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235396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38.11</w:t>
            </w: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AC932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41.05%</w:t>
            </w:r>
          </w:p>
        </w:tc>
      </w:tr>
      <w:tr w14:paraId="635597EB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26463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Neonatology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372BB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865</w:t>
            </w: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873DA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20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160DBF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20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0A028F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0.54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C9D8D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10191.70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28CE60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1224.39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91B2A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1.120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57E173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12.01%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C8C70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0.81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45C814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52.83</w:t>
            </w: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6AD7B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49.70%</w:t>
            </w:r>
          </w:p>
        </w:tc>
      </w:tr>
      <w:tr w14:paraId="4BBDE2C5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BDAFF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Pediatrics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9DF71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1,729</w:t>
            </w: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CE6ACC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41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F6C85C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41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9E940C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0.33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0CC720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3658.26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C5AFC7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95.14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3BEAA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1.026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AFC77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2.60%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DBAFF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0.45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8F109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58.70</w:t>
            </w: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6375F6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83.72%</w:t>
            </w:r>
          </w:p>
        </w:tc>
      </w:tr>
      <w:tr w14:paraId="23CABED1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F5D7B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Otorhinolaryngology (ENT)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48D147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1,199</w:t>
            </w: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42BD27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44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43BBF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44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31EC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0.58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A249F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5831.78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94A72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1271.64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9C0EC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1.218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0B2346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21.81%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5D2B3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0.57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97C474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48.56</w:t>
            </w: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91643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53.44%</w:t>
            </w:r>
          </w:p>
        </w:tc>
      </w:tr>
      <w:tr w14:paraId="29CEA965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A4C9A7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Hepatobiliary and Pancreatic Surgery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C50EDC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636</w:t>
            </w: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49FB8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67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FEB104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67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4AC66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1.27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09CB37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18257.96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0585E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618.08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1EC84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1.034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93C4E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3.39%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B7EBD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1.36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9239F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44.83</w:t>
            </w: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09D646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41.37%</w:t>
            </w:r>
          </w:p>
        </w:tc>
      </w:tr>
      <w:tr w14:paraId="7EB9837A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6053E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Infectious Diseases and Hepatology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9E3CF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561</w:t>
            </w: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F2F80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110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E22E9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110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B9E96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0.67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49C1B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11285.33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6ABB6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988.77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F88BA4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1.088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FDCA30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8.76%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67668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0.87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58D91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42.20</w:t>
            </w: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B09674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49.11%</w:t>
            </w:r>
          </w:p>
        </w:tc>
      </w:tr>
      <w:tr w14:paraId="123C99D3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9D73A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Orthopedics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0D9B33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1,500</w:t>
            </w: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DAC667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193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37CA7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111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BE68D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1.46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E85837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22350.74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C4164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2756.43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F7A33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1.123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ADD19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12.33%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1443D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1.56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D89A4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69.33</w:t>
            </w: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883C4F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51.81%</w:t>
            </w:r>
          </w:p>
        </w:tc>
      </w:tr>
      <w:tr w14:paraId="3E047902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3A7E7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Pulmonary Medicine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CC20C4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1,595</w:t>
            </w: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51C49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139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26FBF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90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0DF6A0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0.74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AD24E4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11547.51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34A7E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301.40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513000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1.026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504B4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2.61%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25410F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0.81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44F730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23.86</w:t>
            </w: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3C3B2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33.16%</w:t>
            </w:r>
          </w:p>
        </w:tc>
      </w:tr>
      <w:tr w14:paraId="5D935075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19BD8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Breast,Thyroid and Vascular Surgery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A5955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963</w:t>
            </w: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3519E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94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42DD37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94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34571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0.95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CC3B7C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13865.85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C9D87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420.35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2CA4C4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1.030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4436EF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3.03%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2BA8A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1.13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ACAF9F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45.39</w:t>
            </w: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A3CBF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57.11%</w:t>
            </w:r>
          </w:p>
        </w:tc>
      </w:tr>
      <w:tr w14:paraId="33F0EBFE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09B9D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Rehabilitation Medicine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1CFA53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369</w:t>
            </w: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71846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42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302AE0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42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D38BF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0.52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27C21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10683.70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A21504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-18.70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5583B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0.998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69186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-0.18%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1F9094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0.68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01DA56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56.25</w:t>
            </w: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DD666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45.67%</w:t>
            </w:r>
          </w:p>
        </w:tc>
      </w:tr>
      <w:tr w14:paraId="507C4952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BDCA3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Stomatology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6A8153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38</w:t>
            </w: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8E1B6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6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F1710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6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67ADB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0.67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1D843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3909.30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52892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4189.47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2ADF2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2.072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6C4F73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107.17%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97B70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0.53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5DC0C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71.38</w:t>
            </w: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7D67DC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84.56%</w:t>
            </w:r>
          </w:p>
        </w:tc>
      </w:tr>
      <w:tr w14:paraId="63EFF315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03D43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Urology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868E5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935</w:t>
            </w: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D4C61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65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64DD8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65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619E0F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1.03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3471D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15115.31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226A8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-1379.79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1E37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0.909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02047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-9.13%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0EA9E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1.04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8333F3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34.99</w:t>
            </w: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6F90F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31.77%</w:t>
            </w:r>
          </w:p>
        </w:tc>
      </w:tr>
      <w:tr w14:paraId="6E7ACE16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6FEA2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Endocrinology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A810C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1,326</w:t>
            </w: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1A63FC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94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26A1B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94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1A204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0.60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8E095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11111.31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F5BB6C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558.30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E34493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1.050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E9111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5.02%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A39F63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0.74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DB264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34.85</w:t>
            </w: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34067F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35.49%</w:t>
            </w:r>
          </w:p>
        </w:tc>
      </w:tr>
      <w:tr w14:paraId="276B6F01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B80F7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Dermatology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DCEAD3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537</w:t>
            </w: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10B66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22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3DCAEC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22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F959A0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0.35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7D88D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5590.97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B2AE9F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-137.06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E5100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0.975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E2AAF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-2.45%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04F89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0.45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A8E23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47.06</w:t>
            </w: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B371E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38.29%</w:t>
            </w:r>
          </w:p>
        </w:tc>
      </w:tr>
      <w:tr w14:paraId="7D9BA452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0C010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General Surgery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BD2DF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805</w:t>
            </w: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0976B6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71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D8952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71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76346F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1.16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D26356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12783.22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30E246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1825.47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75F817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1.143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897E0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14.28%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49868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1.02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1FD1A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49.72</w:t>
            </w: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F0226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59.21%</w:t>
            </w:r>
          </w:p>
        </w:tc>
      </w:tr>
      <w:tr w14:paraId="3A383725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2B5A86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General Practice / Family Medicine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D6F0B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696</w:t>
            </w: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0AB0AC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98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81027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98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2A5FDF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0.59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E1D773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9222.98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727100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212.50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70B796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1.023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7235D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2.30%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4F13F4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0.68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D0C5F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39.16</w:t>
            </w: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79E090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41.15%</w:t>
            </w:r>
          </w:p>
        </w:tc>
      </w:tr>
      <w:tr w14:paraId="11D57379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A7A43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Neurology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783336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1,905</w:t>
            </w: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C6000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114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51386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79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6BAE0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0.89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832D7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11998.55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756AE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2078.59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FFAAB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1.173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1D0F2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17.32%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C5768F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1.04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19D26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46.52</w:t>
            </w: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B6019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51.31%</w:t>
            </w:r>
          </w:p>
        </w:tc>
      </w:tr>
      <w:tr w14:paraId="13E5AF95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4F1470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Neurosurgery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2E63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334</w:t>
            </w: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34A934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51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6C7C3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51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EBFC2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2.33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69919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26493.38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F593E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4329.94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4E262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1.163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1496D3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16.34%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01DE0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1.95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8E0E8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42.90</w:t>
            </w: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0AD5C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48.67%</w:t>
            </w:r>
          </w:p>
        </w:tc>
      </w:tr>
      <w:tr w14:paraId="37B57509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58CD1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Nephrology and Hematology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9C8E8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565</w:t>
            </w: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79A51F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82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322C2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82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812FC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0.87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7D390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10302.38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19480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1563.54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1EF44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1.152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50998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15.18%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7AB6B3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0.86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06267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42.05</w:t>
            </w: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E530D7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58.03%</w:t>
            </w:r>
          </w:p>
        </w:tc>
      </w:tr>
      <w:tr w14:paraId="4B05E280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8E6C0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Pain Medicine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D9AC1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195</w:t>
            </w: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1EE7F3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27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CE7953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27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ACBD4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0.77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208243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5671.23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FDEE0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4296.92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A4FA14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1.758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B6CE4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75.77%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B29AC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0.66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34DD5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56.89</w:t>
            </w: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399306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76.51%</w:t>
            </w:r>
          </w:p>
        </w:tc>
      </w:tr>
      <w:tr w14:paraId="4A7CB83D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21B01F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Gastroenterology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44217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1,170</w:t>
            </w: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D54FF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81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D1A7E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81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C9E7D3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0.64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ACE76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9933.11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8BC0E6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720.00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07F79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1.072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BCFCB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7.25%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30A57F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0.92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2C3767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47.82</w:t>
            </w: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FDDF9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59.04%</w:t>
            </w:r>
          </w:p>
        </w:tc>
      </w:tr>
      <w:tr w14:paraId="20A7F90E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9073D0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Cardiology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F02FB3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2,089</w:t>
            </w: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E293C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154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8C675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103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69E1E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1.11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F3C0B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16813.10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36DEE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2838.91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2EF89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1.169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F3829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16.89%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E3BE5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1.17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C486B0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42.36</w:t>
            </w: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B14704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35.79%</w:t>
            </w:r>
          </w:p>
        </w:tc>
      </w:tr>
      <w:tr w14:paraId="355EF71C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EAADE4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Thoracic and Cardiovascular Surgery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6EC78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339</w:t>
            </w: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E5D04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65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5D4D44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65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0875B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2.04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9F08F4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13028.73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558ABC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10774.63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DE53C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1.827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32D0F3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82.70%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93744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1.21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CE8706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48.06</w:t>
            </w: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36119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52.88%</w:t>
            </w:r>
          </w:p>
        </w:tc>
      </w:tr>
      <w:tr w14:paraId="72B3166C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8440F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Ophthalmology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B922E0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412</w:t>
            </w: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B95ED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21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A90D1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21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2C8A20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0.48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3BD2E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5213.23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C1F937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-21.84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FE47B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0.996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90010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-0.42%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9B0BA3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0.39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AC85E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44.55</w:t>
            </w: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F7454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54.12%</w:t>
            </w:r>
          </w:p>
        </w:tc>
      </w:tr>
      <w:tr w14:paraId="61265574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ADBBAC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Geriatric Traditional Chinese Medicine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FB877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861</w:t>
            </w: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B536F3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98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3E7A0C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98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0EFB8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0.59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4C975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9734.95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45AF3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-283.16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706F5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0.971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EC29C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-2.91%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6A2D93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0.70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65C91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45.92</w:t>
            </w: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CBED2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35.63%</w:t>
            </w:r>
          </w:p>
        </w:tc>
      </w:tr>
      <w:tr w14:paraId="0CA8FFB3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D33E6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Anorectal Traditional Chinese Medicine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8E349C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428</w:t>
            </w: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95A594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5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FE9CC3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5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14CD53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0.59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90E7A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6340.80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C1BE36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-1687.62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50E3F0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0.734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0F480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-26.62%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CB83A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0.55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6C876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68.01</w:t>
            </w: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45086F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63.75%</w:t>
            </w:r>
          </w:p>
        </w:tc>
      </w:tr>
      <w:tr w14:paraId="1B85BFE8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31B0E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Oncology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FE09CF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913</w:t>
            </w: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45A65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81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9FFA1C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81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D0E82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1.10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A0FDB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14929.40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D1B2C6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2923.77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94983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1.196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6DBED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19.58%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9421E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1.22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87BF4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44.80</w:t>
            </w: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14744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44.23%</w:t>
            </w:r>
          </w:p>
        </w:tc>
      </w:tr>
      <w:tr w14:paraId="0B488971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5" w:type="pct"/>
            <w:tcBorders>
              <w:top w:val="nil"/>
              <w:left w:val="nil"/>
              <w:bottom w:val="single" w:color="808080" w:sz="4" w:space="0"/>
              <w:right w:val="nil"/>
            </w:tcBorders>
            <w:vAlign w:val="center"/>
          </w:tcPr>
          <w:p w14:paraId="7570DCA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Critical Care Medicine / Intensive Care Unit (ICU)</w:t>
            </w:r>
          </w:p>
        </w:tc>
        <w:tc>
          <w:tcPr>
            <w:tcW w:w="450" w:type="pct"/>
            <w:tcBorders>
              <w:top w:val="nil"/>
              <w:left w:val="nil"/>
              <w:bottom w:val="single" w:color="808080" w:sz="4" w:space="0"/>
              <w:right w:val="nil"/>
            </w:tcBorders>
            <w:vAlign w:val="center"/>
          </w:tcPr>
          <w:p w14:paraId="0B3AEDEF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59</w:t>
            </w:r>
          </w:p>
        </w:tc>
        <w:tc>
          <w:tcPr>
            <w:tcW w:w="402" w:type="pct"/>
            <w:tcBorders>
              <w:top w:val="nil"/>
              <w:left w:val="nil"/>
              <w:bottom w:val="single" w:color="808080" w:sz="4" w:space="0"/>
              <w:right w:val="nil"/>
            </w:tcBorders>
            <w:vAlign w:val="center"/>
          </w:tcPr>
          <w:p w14:paraId="6F4ED90F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27</w:t>
            </w:r>
          </w:p>
        </w:tc>
        <w:tc>
          <w:tcPr>
            <w:tcW w:w="392" w:type="pct"/>
            <w:tcBorders>
              <w:top w:val="nil"/>
              <w:left w:val="nil"/>
              <w:bottom w:val="single" w:color="808080" w:sz="4" w:space="0"/>
              <w:right w:val="nil"/>
            </w:tcBorders>
            <w:vAlign w:val="center"/>
          </w:tcPr>
          <w:p w14:paraId="174809E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27</w:t>
            </w:r>
          </w:p>
        </w:tc>
        <w:tc>
          <w:tcPr>
            <w:tcW w:w="228" w:type="pct"/>
            <w:tcBorders>
              <w:top w:val="nil"/>
              <w:left w:val="nil"/>
              <w:bottom w:val="single" w:color="808080" w:sz="4" w:space="0"/>
              <w:right w:val="nil"/>
            </w:tcBorders>
            <w:vAlign w:val="center"/>
          </w:tcPr>
          <w:p w14:paraId="770AF90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1.81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808080" w:sz="4" w:space="0"/>
              <w:right w:val="nil"/>
            </w:tcBorders>
            <w:vAlign w:val="center"/>
          </w:tcPr>
          <w:p w14:paraId="7043B09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46551.47</w:t>
            </w:r>
          </w:p>
        </w:tc>
        <w:tc>
          <w:tcPr>
            <w:tcW w:w="600" w:type="pct"/>
            <w:tcBorders>
              <w:top w:val="nil"/>
              <w:left w:val="nil"/>
              <w:bottom w:val="single" w:color="808080" w:sz="4" w:space="0"/>
              <w:right w:val="nil"/>
            </w:tcBorders>
            <w:vAlign w:val="center"/>
          </w:tcPr>
          <w:p w14:paraId="5542FE8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-11286.44</w:t>
            </w:r>
          </w:p>
        </w:tc>
        <w:tc>
          <w:tcPr>
            <w:tcW w:w="280" w:type="pct"/>
            <w:tcBorders>
              <w:top w:val="nil"/>
              <w:left w:val="nil"/>
              <w:bottom w:val="single" w:color="808080" w:sz="4" w:space="0"/>
              <w:right w:val="nil"/>
            </w:tcBorders>
            <w:vAlign w:val="center"/>
          </w:tcPr>
          <w:p w14:paraId="2639D05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0.758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808080" w:sz="4" w:space="0"/>
              <w:right w:val="nil"/>
            </w:tcBorders>
            <w:vAlign w:val="center"/>
          </w:tcPr>
          <w:p w14:paraId="6A8A424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-24.25%</w:t>
            </w:r>
          </w:p>
        </w:tc>
        <w:tc>
          <w:tcPr>
            <w:tcW w:w="360" w:type="pct"/>
            <w:tcBorders>
              <w:top w:val="nil"/>
              <w:left w:val="nil"/>
              <w:bottom w:val="single" w:color="808080" w:sz="4" w:space="0"/>
              <w:right w:val="nil"/>
            </w:tcBorders>
            <w:vAlign w:val="center"/>
          </w:tcPr>
          <w:p w14:paraId="3AB2B684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2.40</w:t>
            </w:r>
          </w:p>
        </w:tc>
        <w:tc>
          <w:tcPr>
            <w:tcW w:w="243" w:type="pct"/>
            <w:tcBorders>
              <w:top w:val="nil"/>
              <w:left w:val="nil"/>
              <w:bottom w:val="single" w:color="808080" w:sz="4" w:space="0"/>
              <w:right w:val="nil"/>
            </w:tcBorders>
            <w:vAlign w:val="center"/>
          </w:tcPr>
          <w:p w14:paraId="737F20D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33.70</w:t>
            </w:r>
          </w:p>
        </w:tc>
        <w:tc>
          <w:tcPr>
            <w:tcW w:w="304" w:type="pct"/>
            <w:tcBorders>
              <w:top w:val="nil"/>
              <w:left w:val="nil"/>
              <w:bottom w:val="single" w:color="808080" w:sz="4" w:space="0"/>
              <w:right w:val="nil"/>
            </w:tcBorders>
            <w:vAlign w:val="center"/>
          </w:tcPr>
          <w:p w14:paraId="5960691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1"/>
                <w:szCs w:val="21"/>
                <w:highlight w:val="none"/>
              </w:rPr>
              <w:t>46.07%</w:t>
            </w:r>
          </w:p>
        </w:tc>
      </w:tr>
      <w:tr w14:paraId="28584222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12"/>
            <w:tcBorders>
              <w:top w:val="single" w:color="808080" w:sz="4" w:space="0"/>
              <w:left w:val="nil"/>
              <w:bottom w:val="nil"/>
              <w:right w:val="nil"/>
            </w:tcBorders>
            <w:vAlign w:val="center"/>
          </w:tcPr>
          <w:p w14:paraId="0C00B257">
            <w:pPr>
              <w:tabs>
                <w:tab w:val="left" w:pos="907"/>
              </w:tabs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Note：</w:t>
            </w: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The 595 unique DRG codes represent distinct DRG codes across the entire analytical dataset. Department-level unique DRG-code counts are reported separately in Appendices 5 and 7 and are not additive across departments, because the same DRG code may appear in more than one department</w:t>
            </w:r>
            <w:r>
              <w:rPr>
                <w:color w:val="auto"/>
                <w:highlight w:val="none"/>
              </w:rPr>
              <w:t>.</w:t>
            </w:r>
          </w:p>
        </w:tc>
      </w:tr>
    </w:tbl>
    <w:p w14:paraId="2D0C4936">
      <w:pPr>
        <w:rPr>
          <w:rFonts w:hint="default" w:ascii="Times New Roman" w:hAnsi="Times New Roman" w:cs="Times New Roman"/>
          <w:color w:val="auto"/>
          <w:lang w:val="en-US" w:eastAsia="zh-CN"/>
        </w:rPr>
      </w:pPr>
    </w:p>
    <w:p w14:paraId="525A70EE">
      <w:pPr>
        <w:spacing w:line="240" w:lineRule="auto"/>
        <w:rPr>
          <w:rFonts w:hint="default" w:ascii="Times New Roman" w:hAnsi="Times New Roman" w:cs="Times New Roman"/>
          <w:color w:val="auto"/>
          <w:sz w:val="21"/>
          <w:szCs w:val="21"/>
          <w:highlight w:val="none"/>
        </w:rPr>
      </w:pPr>
      <w:r>
        <w:rPr>
          <w:rFonts w:hint="default" w:ascii="Times New Roman" w:hAnsi="Times New Roman" w:cs="Times New Roman"/>
          <w:b/>
          <w:bCs/>
          <w:color w:val="auto"/>
          <w:sz w:val="21"/>
          <w:szCs w:val="21"/>
          <w:highlight w:val="none"/>
        </w:rPr>
        <w:t>Appendix 6</w:t>
      </w:r>
      <w:r>
        <w:rPr>
          <w:rFonts w:hint="default" w:ascii="Times New Roman" w:hAnsi="Times New Roman" w:cs="Times New Roman"/>
          <w:color w:val="auto"/>
          <w:sz w:val="21"/>
          <w:szCs w:val="21"/>
          <w:highlight w:val="none"/>
        </w:rPr>
        <w:t>. Department-level outputs summarized from DRG-group scenario simulations</w:t>
      </w:r>
    </w:p>
    <w:tbl>
      <w:tblPr>
        <w:tblStyle w:val="5"/>
        <w:tblW w:w="5000" w:type="pct"/>
        <w:jc w:val="center"/>
        <w:tblBorders>
          <w:top w:val="single" w:color="808080" w:sz="4" w:space="0"/>
          <w:left w:val="single" w:color="808080" w:sz="4" w:space="0"/>
          <w:bottom w:val="single" w:color="808080" w:sz="4" w:space="0"/>
          <w:right w:val="single" w:color="808080" w:sz="4" w:space="0"/>
          <w:insideH w:val="single" w:color="808080" w:sz="4" w:space="0"/>
          <w:insideV w:val="single" w:color="80808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0"/>
        <w:gridCol w:w="1383"/>
        <w:gridCol w:w="1296"/>
        <w:gridCol w:w="1089"/>
        <w:gridCol w:w="1811"/>
        <w:gridCol w:w="1089"/>
        <w:gridCol w:w="1811"/>
        <w:gridCol w:w="1089"/>
        <w:gridCol w:w="1826"/>
      </w:tblGrid>
      <w:tr w14:paraId="1A270F50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81" w:type="pct"/>
            <w:tcBorders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35AA3CB4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Department</w:t>
            </w:r>
          </w:p>
        </w:tc>
        <w:tc>
          <w:tcPr>
            <w:tcW w:w="488" w:type="pct"/>
            <w:tcBorders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76202D60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Baseline WCDI</w:t>
            </w:r>
          </w:p>
        </w:tc>
        <w:tc>
          <w:tcPr>
            <w:tcW w:w="457" w:type="pct"/>
            <w:tcBorders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48A4A652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Baseline RCR</w:t>
            </w:r>
          </w:p>
        </w:tc>
        <w:tc>
          <w:tcPr>
            <w:tcW w:w="384" w:type="pct"/>
            <w:tcBorders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74D9A957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RCR +10%</w:t>
            </w:r>
          </w:p>
        </w:tc>
        <w:tc>
          <w:tcPr>
            <w:tcW w:w="639" w:type="pct"/>
            <w:tcBorders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7A0180F0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Residual WCDI +10%</w:t>
            </w:r>
          </w:p>
        </w:tc>
        <w:tc>
          <w:tcPr>
            <w:tcW w:w="384" w:type="pct"/>
            <w:tcBorders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597C9447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RCR +15%</w:t>
            </w:r>
          </w:p>
        </w:tc>
        <w:tc>
          <w:tcPr>
            <w:tcW w:w="639" w:type="pct"/>
            <w:tcBorders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071ADFC6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Residual WCDI +15%</w:t>
            </w:r>
          </w:p>
        </w:tc>
        <w:tc>
          <w:tcPr>
            <w:tcW w:w="384" w:type="pct"/>
            <w:tcBorders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2402A438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RCR +20%</w:t>
            </w:r>
          </w:p>
        </w:tc>
        <w:tc>
          <w:tcPr>
            <w:tcW w:w="639" w:type="pct"/>
            <w:tcBorders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7C875A40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Residual WCDI +20%</w:t>
            </w:r>
          </w:p>
        </w:tc>
      </w:tr>
      <w:tr w14:paraId="15007A50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81" w:type="pct"/>
            <w:tcBorders>
              <w:top w:val="single" w:color="808080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6E2A70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General Practice / Family Medicine</w:t>
            </w:r>
          </w:p>
        </w:tc>
        <w:tc>
          <w:tcPr>
            <w:tcW w:w="488" w:type="pct"/>
            <w:tcBorders>
              <w:top w:val="single" w:color="808080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016B3A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41.15%</w:t>
            </w:r>
          </w:p>
        </w:tc>
        <w:tc>
          <w:tcPr>
            <w:tcW w:w="457" w:type="pct"/>
            <w:tcBorders>
              <w:top w:val="single" w:color="808080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7E9500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0.589</w:t>
            </w:r>
          </w:p>
        </w:tc>
        <w:tc>
          <w:tcPr>
            <w:tcW w:w="384" w:type="pct"/>
            <w:tcBorders>
              <w:top w:val="single" w:color="808080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BE5642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0.647</w:t>
            </w:r>
          </w:p>
        </w:tc>
        <w:tc>
          <w:tcPr>
            <w:tcW w:w="639" w:type="pct"/>
            <w:tcBorders>
              <w:top w:val="single" w:color="808080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8BD946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35.26%</w:t>
            </w:r>
          </w:p>
        </w:tc>
        <w:tc>
          <w:tcPr>
            <w:tcW w:w="384" w:type="pct"/>
            <w:tcBorders>
              <w:top w:val="single" w:color="808080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82F1FD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0.677</w:t>
            </w:r>
          </w:p>
        </w:tc>
        <w:tc>
          <w:tcPr>
            <w:tcW w:w="639" w:type="pct"/>
            <w:tcBorders>
              <w:top w:val="single" w:color="808080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9B2CE3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32.32%</w:t>
            </w:r>
          </w:p>
        </w:tc>
        <w:tc>
          <w:tcPr>
            <w:tcW w:w="384" w:type="pct"/>
            <w:tcBorders>
              <w:top w:val="single" w:color="808080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68BC29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0.706</w:t>
            </w:r>
          </w:p>
        </w:tc>
        <w:tc>
          <w:tcPr>
            <w:tcW w:w="639" w:type="pct"/>
            <w:tcBorders>
              <w:top w:val="single" w:color="808080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7E1FC2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29.38%</w:t>
            </w:r>
          </w:p>
        </w:tc>
      </w:tr>
      <w:tr w14:paraId="46D21AF4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C3DD9B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Neurosurgery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C6608B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48.67%</w:t>
            </w: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3BD021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0.513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59D2A6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0.565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2624B4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43.54%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82BC9C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0.590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CB16AF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40.97%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848788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0.616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B8B6F3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38.40%</w:t>
            </w:r>
          </w:p>
        </w:tc>
      </w:tr>
      <w:tr w14:paraId="6639EFB0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E96F7A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Gastroenterology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760D17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59.04%</w:t>
            </w: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FCFAD1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0.410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24EFAE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0.451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CA3279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54.94%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00CEA1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0.471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9E27DE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52.90%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39C2A8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0.492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9E4141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50.85%</w:t>
            </w:r>
          </w:p>
        </w:tc>
      </w:tr>
      <w:tr w14:paraId="5B33C638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DEF2BF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Thoracic and Cardiovascular Surgery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0DD92E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52.88%</w:t>
            </w: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FC52AE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0.471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AA7715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0.518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9BFFD8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48.17%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C655F1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0.542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A67592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45.81%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F71823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0.565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67C8BB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43.46%</w:t>
            </w:r>
          </w:p>
        </w:tc>
      </w:tr>
      <w:tr w14:paraId="29135397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81" w:type="pct"/>
            <w:tcBorders>
              <w:top w:val="nil"/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7738C26D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Pediatrics</w:t>
            </w:r>
          </w:p>
        </w:tc>
        <w:tc>
          <w:tcPr>
            <w:tcW w:w="488" w:type="pct"/>
            <w:tcBorders>
              <w:top w:val="nil"/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0CFA9C6B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83.72%</w:t>
            </w:r>
          </w:p>
        </w:tc>
        <w:tc>
          <w:tcPr>
            <w:tcW w:w="457" w:type="pct"/>
            <w:tcBorders>
              <w:top w:val="nil"/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39B74E29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0.163</w:t>
            </w:r>
          </w:p>
        </w:tc>
        <w:tc>
          <w:tcPr>
            <w:tcW w:w="384" w:type="pct"/>
            <w:tcBorders>
              <w:top w:val="nil"/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5C38360F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0.179</w:t>
            </w:r>
          </w:p>
        </w:tc>
        <w:tc>
          <w:tcPr>
            <w:tcW w:w="639" w:type="pct"/>
            <w:tcBorders>
              <w:top w:val="nil"/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31052384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82.09%</w:t>
            </w:r>
          </w:p>
        </w:tc>
        <w:tc>
          <w:tcPr>
            <w:tcW w:w="384" w:type="pct"/>
            <w:tcBorders>
              <w:top w:val="nil"/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26DBC27C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0.187</w:t>
            </w:r>
          </w:p>
        </w:tc>
        <w:tc>
          <w:tcPr>
            <w:tcW w:w="639" w:type="pct"/>
            <w:tcBorders>
              <w:top w:val="nil"/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6BD3345D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81.28%</w:t>
            </w:r>
          </w:p>
        </w:tc>
        <w:tc>
          <w:tcPr>
            <w:tcW w:w="384" w:type="pct"/>
            <w:tcBorders>
              <w:top w:val="nil"/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1190CA63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0.195</w:t>
            </w:r>
          </w:p>
        </w:tc>
        <w:tc>
          <w:tcPr>
            <w:tcW w:w="639" w:type="pct"/>
            <w:tcBorders>
              <w:top w:val="nil"/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5C841D4E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80.46%</w:t>
            </w:r>
          </w:p>
        </w:tc>
      </w:tr>
      <w:tr w14:paraId="4A8F9546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9"/>
            <w:tcBorders>
              <w:top w:val="single" w:color="808080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DE8AF8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color w:val="auto"/>
              </w:rPr>
              <w:t xml:space="preserve">Note: </w:t>
            </w:r>
            <w:r>
              <w:rPr>
                <w:rFonts w:hint="default" w:ascii="Times New Roman" w:hAnsi="Times New Roman" w:cs="Times New Roman"/>
                <w:color w:val="auto"/>
              </w:rPr>
              <w:t>These RCR values represent the simulated eligible DRG-group subset within each department, whereas whole-department directional indicators are reported in Appendix 5.</w:t>
            </w:r>
          </w:p>
        </w:tc>
      </w:tr>
    </w:tbl>
    <w:p w14:paraId="3AA36972">
      <w:pPr>
        <w:rPr>
          <w:rFonts w:hint="default" w:ascii="Times New Roman" w:hAnsi="Times New Roman" w:cs="Times New Roman"/>
          <w:color w:val="auto"/>
          <w:lang w:val="en-US" w:eastAsia="zh-CN"/>
        </w:rPr>
      </w:pPr>
    </w:p>
    <w:p w14:paraId="2FAEC2F9">
      <w:pPr>
        <w:rPr>
          <w:rFonts w:hint="default" w:ascii="Times New Roman" w:hAnsi="Times New Roman" w:cs="Times New Roman"/>
          <w:color w:val="auto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color w:val="auto"/>
          <w:lang w:val="en-US" w:eastAsia="zh-CN"/>
        </w:rPr>
        <w:t>Appendix 7</w:t>
      </w:r>
      <w:r>
        <w:rPr>
          <w:rFonts w:hint="default" w:ascii="Times New Roman" w:hAnsi="Times New Roman" w:cs="Times New Roman"/>
          <w:color w:val="auto"/>
          <w:lang w:val="en-US" w:eastAsia="zh-CN"/>
        </w:rPr>
        <w:t>. Department-level stability and scenario eligibility indicators</w:t>
      </w:r>
    </w:p>
    <w:tbl>
      <w:tblPr>
        <w:tblStyle w:val="5"/>
        <w:tblW w:w="0" w:type="auto"/>
        <w:jc w:val="center"/>
        <w:tblBorders>
          <w:top w:val="single" w:color="808080" w:sz="4" w:space="0"/>
          <w:left w:val="single" w:color="808080" w:sz="4" w:space="0"/>
          <w:bottom w:val="single" w:color="808080" w:sz="4" w:space="0"/>
          <w:right w:val="single" w:color="808080" w:sz="4" w:space="0"/>
          <w:insideH w:val="single" w:color="808080" w:sz="4" w:space="0"/>
          <w:insideV w:val="single" w:color="80808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67"/>
        <w:gridCol w:w="1522"/>
        <w:gridCol w:w="1448"/>
        <w:gridCol w:w="1443"/>
        <w:gridCol w:w="2902"/>
        <w:gridCol w:w="1624"/>
        <w:gridCol w:w="1768"/>
      </w:tblGrid>
      <w:tr w14:paraId="0FA83FEE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5DA722D7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Department</w:t>
            </w:r>
          </w:p>
        </w:tc>
        <w:tc>
          <w:tcPr>
            <w:tcW w:w="0" w:type="auto"/>
            <w:tcBorders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63806957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Total discharges</w:t>
            </w:r>
          </w:p>
        </w:tc>
        <w:tc>
          <w:tcPr>
            <w:tcW w:w="0" w:type="auto"/>
            <w:tcBorders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390E202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DRG group records</w:t>
            </w:r>
          </w:p>
        </w:tc>
        <w:tc>
          <w:tcPr>
            <w:tcW w:w="0" w:type="auto"/>
            <w:tcBorders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2D5BF1A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Unique DRG codes</w:t>
            </w:r>
          </w:p>
        </w:tc>
        <w:tc>
          <w:tcPr>
            <w:tcW w:w="0" w:type="auto"/>
            <w:tcBorders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21F7B73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High-deviation under-reimbursed records</w:t>
            </w:r>
          </w:p>
        </w:tc>
        <w:tc>
          <w:tcPr>
            <w:tcW w:w="0" w:type="auto"/>
            <w:tcBorders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16BCCA40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Eligible discharges</w:t>
            </w:r>
          </w:p>
        </w:tc>
        <w:tc>
          <w:tcPr>
            <w:tcW w:w="0" w:type="auto"/>
            <w:tcBorders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6199190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Reported in simulation</w:t>
            </w:r>
          </w:p>
        </w:tc>
      </w:tr>
      <w:tr w14:paraId="6388D590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808080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630792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Obstetrics</w:t>
            </w:r>
          </w:p>
        </w:tc>
        <w:tc>
          <w:tcPr>
            <w:tcW w:w="0" w:type="auto"/>
            <w:tcBorders>
              <w:top w:val="single" w:color="808080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32C375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1,488</w:t>
            </w:r>
          </w:p>
        </w:tc>
        <w:tc>
          <w:tcPr>
            <w:tcW w:w="0" w:type="auto"/>
            <w:tcBorders>
              <w:top w:val="single" w:color="808080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6BCA5A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16</w:t>
            </w:r>
          </w:p>
        </w:tc>
        <w:tc>
          <w:tcPr>
            <w:tcW w:w="0" w:type="auto"/>
            <w:tcBorders>
              <w:top w:val="single" w:color="808080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202CD9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9</w:t>
            </w:r>
          </w:p>
        </w:tc>
        <w:tc>
          <w:tcPr>
            <w:tcW w:w="0" w:type="auto"/>
            <w:tcBorders>
              <w:top w:val="single" w:color="808080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AD54E9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0" w:type="auto"/>
            <w:tcBorders>
              <w:top w:val="single" w:color="808080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B07AA2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0" w:type="auto"/>
            <w:tcBorders>
              <w:top w:val="single" w:color="808080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057F18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No</w:t>
            </w:r>
          </w:p>
        </w:tc>
      </w:tr>
      <w:tr w14:paraId="2BEC24F7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1C951D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Gynecology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09CF77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867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6F9224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F2FEF9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A293B1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96ED00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F700F0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No</w:t>
            </w:r>
          </w:p>
        </w:tc>
      </w:tr>
      <w:tr w14:paraId="37600C3A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303C1D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Neonatology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DABE27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865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8C9E4D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71452F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E66123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739B42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94AECB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No</w:t>
            </w:r>
          </w:p>
        </w:tc>
      </w:tr>
      <w:tr w14:paraId="64BC729D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7ECFC2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Pediatrics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FA6C73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1,729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F89B7F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5A9E06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EB7544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B820E1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D694BA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Yes</w:t>
            </w:r>
          </w:p>
        </w:tc>
      </w:tr>
      <w:tr w14:paraId="694B33C2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75C653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Otorhinolaryngology (ENT)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76B4F3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1,199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04FD56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ED6206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D3E868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0E6E23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75EDEA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No</w:t>
            </w:r>
          </w:p>
        </w:tc>
      </w:tr>
      <w:tr w14:paraId="1C6B83F0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308FFA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Hepatobiliary and Pancreatic Surgery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B4428E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636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1E2F9A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A9B217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29BDB8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C3BDD0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7B06F4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No</w:t>
            </w:r>
          </w:p>
        </w:tc>
      </w:tr>
      <w:tr w14:paraId="0590EAF7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0EC9C5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Infectious Diseases and Hepatology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B1B76D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561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A35A33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73A37C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9AA8E3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3DDA57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1D94A5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No</w:t>
            </w:r>
          </w:p>
        </w:tc>
      </w:tr>
      <w:tr w14:paraId="17DABF1A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359A81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Orthopedics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E2E92A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1,500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FFA0F8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193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639019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111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18E17E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A7F8E4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A4F828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No</w:t>
            </w:r>
          </w:p>
        </w:tc>
      </w:tr>
      <w:tr w14:paraId="120B1F32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3B68FD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Pulmonary Medicine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2CA82F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1,595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41F7DC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139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34E98F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FA657B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E8D520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0371FF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No</w:t>
            </w:r>
          </w:p>
        </w:tc>
      </w:tr>
      <w:tr w14:paraId="311C638C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8331F9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Breast,Thyroid and Vascular Surgery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37F3A4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963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1E1043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8025F6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2A1F1B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31E2C0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072969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No</w:t>
            </w:r>
          </w:p>
        </w:tc>
      </w:tr>
      <w:tr w14:paraId="7F26C33C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BE2CED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Rehabilitation Medicine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5E305A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369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E685E2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1D237D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6E11C6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3ADCE6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8A8FD3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No</w:t>
            </w:r>
          </w:p>
        </w:tc>
      </w:tr>
      <w:tr w14:paraId="0B42B1FA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1B989A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Stomatology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AF2E02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14C8A7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38F2C7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A005AE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721DEE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D8977A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No</w:t>
            </w:r>
          </w:p>
        </w:tc>
      </w:tr>
      <w:tr w14:paraId="3EBBFE19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EDA5CE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Urology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F1DDAC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935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20ED81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51D1BB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16DE8C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7D699E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108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D89AB3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No</w:t>
            </w:r>
          </w:p>
        </w:tc>
      </w:tr>
      <w:tr w14:paraId="5C391793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404073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Endocrinology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13C9B4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1,326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3008EF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F82EAB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B9C7AF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AF3820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7F90C6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No</w:t>
            </w:r>
          </w:p>
        </w:tc>
      </w:tr>
      <w:tr w14:paraId="33F8C8EA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2D489E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Dermatology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6A9A7A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537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6BAEE6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AC4874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FE8619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4482AD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141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1FEEF9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No</w:t>
            </w:r>
          </w:p>
        </w:tc>
      </w:tr>
      <w:tr w14:paraId="6C94E364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6E8035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General Surgery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284E15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805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A53E44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4D3CAF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C48D79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82935C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F302DD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No</w:t>
            </w:r>
          </w:p>
        </w:tc>
      </w:tr>
      <w:tr w14:paraId="5AEDEFE1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B2A206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General Practice / Family Medicine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31FFF4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696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85DA0F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F6102C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90DE5C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CDFCA2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636A7C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Yes</w:t>
            </w:r>
          </w:p>
        </w:tc>
      </w:tr>
      <w:tr w14:paraId="579C409B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E3225A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Neurology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539622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1,905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BF4428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114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C32E40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91DB97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A3670F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89E599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No</w:t>
            </w:r>
          </w:p>
        </w:tc>
      </w:tr>
      <w:tr w14:paraId="7E7A3E4D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E466E1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Neurosurgery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EDD3F2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334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746022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89DE17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29B7EB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9D6F74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309B1D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Yes</w:t>
            </w:r>
          </w:p>
        </w:tc>
      </w:tr>
      <w:tr w14:paraId="3BF5E8C0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E38349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Nephrology and Hematology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25D1DE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565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70CF0F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82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226DD6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82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98EDBB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7E2067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249C2D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No</w:t>
            </w:r>
          </w:p>
        </w:tc>
      </w:tr>
      <w:tr w14:paraId="1B192BBA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DAF771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Pain Medicine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8523DA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195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B1D67A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5AAC76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01AF83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B43B93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788006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No</w:t>
            </w:r>
          </w:p>
        </w:tc>
      </w:tr>
      <w:tr w14:paraId="4BAE7253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A1A106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Gastroenterology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19A5B9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1,170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A98EEC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81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F5BFDD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81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F2A7FC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E3554C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E7EA18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Yes</w:t>
            </w:r>
          </w:p>
        </w:tc>
      </w:tr>
      <w:tr w14:paraId="6B02BAF0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87A6CF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Cardiology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BAECC7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2,089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94B911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154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817BB0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103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E16E7B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8F20E2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50923D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No</w:t>
            </w:r>
          </w:p>
        </w:tc>
      </w:tr>
      <w:tr w14:paraId="7133520E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0115B7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Thoracic and Cardiovascular Surgery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CB1472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339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4ECCEA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E3F78B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7358D8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13159A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99514E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Yes</w:t>
            </w:r>
          </w:p>
        </w:tc>
      </w:tr>
      <w:tr w14:paraId="78AD9BE0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75FD12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Ophthalmology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055DE7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412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795BF1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D27222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54B438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9D1EFA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F49079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No</w:t>
            </w:r>
          </w:p>
        </w:tc>
      </w:tr>
      <w:tr w14:paraId="5E818B95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E0475C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Geriatric Traditional Chinese Medicine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66E56F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861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6C4996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BF7FCC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08AB79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7AEB9D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487937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No</w:t>
            </w:r>
          </w:p>
        </w:tc>
      </w:tr>
      <w:tr w14:paraId="067FA48B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0DCE6F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Anorectal Traditional Chinese Medicine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469CC8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428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378508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028B6A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646E00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FF4F25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59D726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No</w:t>
            </w:r>
          </w:p>
        </w:tc>
      </w:tr>
      <w:tr w14:paraId="37019872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2FAFA8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Oncology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E60031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913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55CE37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81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3A6BC6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81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53D829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E29ACE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D79195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No</w:t>
            </w:r>
          </w:p>
        </w:tc>
      </w:tr>
      <w:tr w14:paraId="6D64F6EC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04F5AC00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Critical Care Medicine / Intensive Care Unit (ICU)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0AB3E874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4DC616EB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06DE68F3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161144E0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2798E66A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808080" w:sz="4" w:space="0"/>
              <w:right w:val="nil"/>
            </w:tcBorders>
            <w:shd w:val="clear" w:color="auto" w:fill="auto"/>
            <w:vAlign w:val="center"/>
          </w:tcPr>
          <w:p w14:paraId="3A122DB4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No</w:t>
            </w:r>
          </w:p>
        </w:tc>
      </w:tr>
      <w:tr w14:paraId="1F6665AF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gridSpan w:val="7"/>
            <w:tcBorders>
              <w:top w:val="single" w:color="808080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6CA607">
            <w:pPr>
              <w:spacing w:after="0" w:line="240" w:lineRule="auto"/>
              <w:rPr>
                <w:rFonts w:hint="default" w:ascii="Times New Roman" w:hAnsi="Times New Roman" w:cs="Times New Roman" w:eastAsiaTheme="minorEastAsia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</w:rPr>
              <w:t>Note: High-deviation under-reimbursed records were defined as department–DRG records with WCDI &gt;40% and theoretical reimbursement below observed cost. This appendix reports the simulation sampling frame and summarizes department-level eligibility for DRG-group scenario analysis.</w:t>
            </w:r>
            <w:r>
              <w:rPr>
                <w:rFonts w:hint="eastAsia" w:ascii="Times New Roman" w:hAnsi="Times New Roman" w:cs="Times New Roman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The 595 unique DRG codes refer to distinct DRG codes across the whole analytical dataset; department-level unique DRG-code counts are reported separately in Appendices 5 and 7 and are not additive across departments</w:t>
            </w: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.</w:t>
            </w: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Eligibility was assessed at the department–DRG record level; therefore, department-level WCDI may diverge from DRG-group eligibility. A department with moderate or severe aggregate WCDI may have zero eligible records when no individual under-reimbursed DRG-group record simultaneously satisfies WCDI &gt;40% and theoretical reimbursement below observed cost, as observed in departments such as Anorectal Traditional Chinese Medicine.</w:t>
            </w:r>
          </w:p>
        </w:tc>
      </w:tr>
    </w:tbl>
    <w:p w14:paraId="0D895AC9">
      <w:pPr>
        <w:rPr>
          <w:rFonts w:hint="default" w:ascii="Times New Roman" w:hAnsi="Times New Roman" w:cs="Times New Roman"/>
          <w:color w:val="auto"/>
          <w:lang w:val="en-US" w:eastAsia="zh-CN"/>
        </w:rPr>
      </w:pPr>
    </w:p>
    <w:bookmarkEnd w:id="0"/>
    <w:sectPr>
      <w:headerReference r:id="rId3" w:type="default"/>
      <w:footerReference r:id="rId4" w:type="default"/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8564FA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8C52D8E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8C52D8E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88535B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963A02"/>
    <w:rsid w:val="01FE32BB"/>
    <w:rsid w:val="0345246F"/>
    <w:rsid w:val="05D610DF"/>
    <w:rsid w:val="0DDA3198"/>
    <w:rsid w:val="37EC2497"/>
    <w:rsid w:val="5E473A9D"/>
    <w:rsid w:val="632413F0"/>
    <w:rsid w:val="6AEA1AEA"/>
    <w:rsid w:val="6C9A7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568</Words>
  <Characters>3661</Characters>
  <DocSecurity>0</DocSecurity>
  <Lines>0</Lines>
  <Paragraphs>0</Paragraphs>
  <ScaleCrop>false</ScaleCrop>
  <LinksUpToDate>false</LinksUpToDate>
  <CharactersWithSpaces>4170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2026-05-29T13:57:00Z</dcterms:created>
  <dcterms:modified xsi:type="dcterms:W3CDTF">2026-06-05T04:11:50Z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eyJoZGlkIjoiMTU0MWUzM2FlMjkzZjljN2EyZWY4YmJjMGY5MDJmNjQiLCJ1c2VySWQiOiI2Njc1ODcwNDAifQ==</vt:lpwstr>
  </property>
  <property fmtid="{D5CDD505-2E9C-101B-9397-08002B2CF9AE}" pid="4" name="ICV">
    <vt:lpwstr>866531B7A689439CB60174DF6357164B_12</vt:lpwstr>
  </property>
</Properties>
</file>