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4362F2" w14:textId="77777777" w:rsidR="00D338A3" w:rsidRPr="00D338A3" w:rsidRDefault="00D338A3" w:rsidP="00D338A3">
      <w:pPr>
        <w:spacing w:line="48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D338A3">
        <w:rPr>
          <w:rFonts w:ascii="Times New Roman" w:eastAsia="Calibri" w:hAnsi="Times New Roman" w:cs="Times New Roman"/>
          <w:b/>
          <w:bCs/>
          <w:kern w:val="0"/>
          <w14:ligatures w14:val="none"/>
        </w:rPr>
        <w:t>Supplementary Tables</w:t>
      </w:r>
    </w:p>
    <w:p w14:paraId="49379DD4" w14:textId="77777777" w:rsidR="00D338A3" w:rsidRPr="00D338A3" w:rsidRDefault="00D338A3" w:rsidP="00D338A3">
      <w:pPr>
        <w:spacing w:line="48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338A3">
        <w:rPr>
          <w:rFonts w:ascii="Times New Roman" w:eastAsia="Calibri" w:hAnsi="Times New Roman" w:cs="Times New Roman"/>
          <w:b/>
          <w:bCs/>
          <w:kern w:val="0"/>
          <w14:ligatures w14:val="none"/>
        </w:rPr>
        <w:t>Supplementary Table S1.</w:t>
      </w:r>
      <w:r w:rsidRPr="00D338A3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D338A3">
        <w:rPr>
          <w:rFonts w:ascii="Times New Roman" w:eastAsia="Calibri" w:hAnsi="Times New Roman" w:cs="Times New Roman"/>
          <w:b/>
          <w:bCs/>
          <w:kern w:val="0"/>
          <w14:ligatures w14:val="none"/>
        </w:rPr>
        <w:t>Cross-classification of teeth recorded as developmental during remote assessment and their corresponding in-field clinical classification.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3"/>
        <w:gridCol w:w="2396"/>
        <w:gridCol w:w="2245"/>
        <w:gridCol w:w="1805"/>
      </w:tblGrid>
      <w:tr w:rsidR="00D338A3" w:rsidRPr="00D338A3" w14:paraId="0B20CAF2" w14:textId="77777777" w:rsidTr="006E5917">
        <w:tc>
          <w:tcPr>
            <w:tcW w:w="0" w:type="auto"/>
            <w:hideMark/>
          </w:tcPr>
          <w:p w14:paraId="75AEA587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D338A3">
              <w:rPr>
                <w:rFonts w:ascii="Times New Roman" w:eastAsia="Calibri" w:hAnsi="Times New Roman" w:cs="Times New Roman"/>
                <w:b/>
                <w:bCs/>
              </w:rPr>
              <w:t>Remote classification</w:t>
            </w:r>
          </w:p>
        </w:tc>
        <w:tc>
          <w:tcPr>
            <w:tcW w:w="0" w:type="auto"/>
            <w:hideMark/>
          </w:tcPr>
          <w:p w14:paraId="4811323D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D338A3">
              <w:rPr>
                <w:rFonts w:ascii="Times New Roman" w:eastAsia="Calibri" w:hAnsi="Times New Roman" w:cs="Times New Roman"/>
                <w:b/>
                <w:bCs/>
              </w:rPr>
              <w:t>Clinical classification</w:t>
            </w:r>
          </w:p>
        </w:tc>
        <w:tc>
          <w:tcPr>
            <w:tcW w:w="0" w:type="auto"/>
            <w:hideMark/>
          </w:tcPr>
          <w:p w14:paraId="56C13449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D338A3">
              <w:rPr>
                <w:rFonts w:ascii="Times New Roman" w:eastAsia="Calibri" w:hAnsi="Times New Roman" w:cs="Times New Roman"/>
                <w:b/>
                <w:bCs/>
              </w:rPr>
              <w:t>Number of teeth (n)</w:t>
            </w:r>
          </w:p>
        </w:tc>
        <w:tc>
          <w:tcPr>
            <w:tcW w:w="0" w:type="auto"/>
            <w:hideMark/>
          </w:tcPr>
          <w:p w14:paraId="4CFFC476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D338A3">
              <w:rPr>
                <w:rFonts w:ascii="Times New Roman" w:eastAsia="Calibri" w:hAnsi="Times New Roman" w:cs="Times New Roman"/>
                <w:b/>
                <w:bCs/>
              </w:rPr>
              <w:t>Percentage (%)</w:t>
            </w:r>
          </w:p>
        </w:tc>
      </w:tr>
      <w:tr w:rsidR="00D338A3" w:rsidRPr="00D338A3" w14:paraId="292B3CCC" w14:textId="77777777" w:rsidTr="006E5917">
        <w:tc>
          <w:tcPr>
            <w:tcW w:w="0" w:type="auto"/>
            <w:hideMark/>
          </w:tcPr>
          <w:p w14:paraId="041664DC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Developmental</w:t>
            </w:r>
          </w:p>
        </w:tc>
        <w:tc>
          <w:tcPr>
            <w:tcW w:w="0" w:type="auto"/>
            <w:hideMark/>
          </w:tcPr>
          <w:p w14:paraId="6A27EF36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Developmental</w:t>
            </w:r>
          </w:p>
        </w:tc>
        <w:tc>
          <w:tcPr>
            <w:tcW w:w="0" w:type="auto"/>
            <w:hideMark/>
          </w:tcPr>
          <w:p w14:paraId="1910D9AA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7,035</w:t>
            </w:r>
          </w:p>
        </w:tc>
        <w:tc>
          <w:tcPr>
            <w:tcW w:w="0" w:type="auto"/>
            <w:hideMark/>
          </w:tcPr>
          <w:p w14:paraId="367B0994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91.0</w:t>
            </w:r>
          </w:p>
        </w:tc>
      </w:tr>
      <w:tr w:rsidR="00D338A3" w:rsidRPr="00D338A3" w14:paraId="06C76F1E" w14:textId="77777777" w:rsidTr="006E5917">
        <w:tc>
          <w:tcPr>
            <w:tcW w:w="0" w:type="auto"/>
            <w:hideMark/>
          </w:tcPr>
          <w:p w14:paraId="7AC82344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Developmental</w:t>
            </w:r>
          </w:p>
        </w:tc>
        <w:tc>
          <w:tcPr>
            <w:tcW w:w="0" w:type="auto"/>
            <w:hideMark/>
          </w:tcPr>
          <w:p w14:paraId="6AFDDAA4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Sound</w:t>
            </w:r>
          </w:p>
        </w:tc>
        <w:tc>
          <w:tcPr>
            <w:tcW w:w="0" w:type="auto"/>
            <w:hideMark/>
          </w:tcPr>
          <w:p w14:paraId="27B9B7D8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360</w:t>
            </w:r>
          </w:p>
        </w:tc>
        <w:tc>
          <w:tcPr>
            <w:tcW w:w="0" w:type="auto"/>
            <w:hideMark/>
          </w:tcPr>
          <w:p w14:paraId="1ACEB376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4.7</w:t>
            </w:r>
          </w:p>
        </w:tc>
      </w:tr>
      <w:tr w:rsidR="00D338A3" w:rsidRPr="00D338A3" w14:paraId="4DE73B45" w14:textId="77777777" w:rsidTr="006E5917">
        <w:tc>
          <w:tcPr>
            <w:tcW w:w="0" w:type="auto"/>
            <w:hideMark/>
          </w:tcPr>
          <w:p w14:paraId="2BFE7CAF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Developmental</w:t>
            </w:r>
          </w:p>
        </w:tc>
        <w:tc>
          <w:tcPr>
            <w:tcW w:w="0" w:type="auto"/>
            <w:hideMark/>
          </w:tcPr>
          <w:p w14:paraId="5D02148C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Carious</w:t>
            </w:r>
          </w:p>
        </w:tc>
        <w:tc>
          <w:tcPr>
            <w:tcW w:w="0" w:type="auto"/>
            <w:hideMark/>
          </w:tcPr>
          <w:p w14:paraId="33DB29EF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58*</w:t>
            </w:r>
          </w:p>
        </w:tc>
        <w:tc>
          <w:tcPr>
            <w:tcW w:w="0" w:type="auto"/>
            <w:hideMark/>
          </w:tcPr>
          <w:p w14:paraId="79E47EF3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0.75</w:t>
            </w:r>
          </w:p>
        </w:tc>
      </w:tr>
      <w:tr w:rsidR="00D338A3" w:rsidRPr="00D338A3" w14:paraId="32BEA4C6" w14:textId="77777777" w:rsidTr="006E5917">
        <w:tc>
          <w:tcPr>
            <w:tcW w:w="0" w:type="auto"/>
            <w:hideMark/>
          </w:tcPr>
          <w:p w14:paraId="3AD99DCF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Developmental</w:t>
            </w:r>
          </w:p>
        </w:tc>
        <w:tc>
          <w:tcPr>
            <w:tcW w:w="0" w:type="auto"/>
            <w:hideMark/>
          </w:tcPr>
          <w:p w14:paraId="4987DC93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Filled</w:t>
            </w:r>
          </w:p>
        </w:tc>
        <w:tc>
          <w:tcPr>
            <w:tcW w:w="0" w:type="auto"/>
            <w:hideMark/>
          </w:tcPr>
          <w:p w14:paraId="7C25CD17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14:paraId="5139D574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0.01</w:t>
            </w:r>
          </w:p>
        </w:tc>
      </w:tr>
      <w:tr w:rsidR="00D338A3" w:rsidRPr="00D338A3" w14:paraId="2A40CBA6" w14:textId="77777777" w:rsidTr="006E5917">
        <w:tc>
          <w:tcPr>
            <w:tcW w:w="0" w:type="auto"/>
            <w:hideMark/>
          </w:tcPr>
          <w:p w14:paraId="56C40D68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Developmental</w:t>
            </w:r>
          </w:p>
        </w:tc>
        <w:tc>
          <w:tcPr>
            <w:tcW w:w="0" w:type="auto"/>
            <w:hideMark/>
          </w:tcPr>
          <w:p w14:paraId="3A432194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Missing</w:t>
            </w:r>
          </w:p>
        </w:tc>
        <w:tc>
          <w:tcPr>
            <w:tcW w:w="0" w:type="auto"/>
            <w:hideMark/>
          </w:tcPr>
          <w:p w14:paraId="3C6BF997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14:paraId="1552F2FF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</w:rPr>
              <w:t>0.04</w:t>
            </w:r>
          </w:p>
        </w:tc>
      </w:tr>
      <w:tr w:rsidR="00D338A3" w:rsidRPr="00D338A3" w14:paraId="2AB8176D" w14:textId="77777777" w:rsidTr="006E5917">
        <w:tc>
          <w:tcPr>
            <w:tcW w:w="0" w:type="auto"/>
            <w:hideMark/>
          </w:tcPr>
          <w:p w14:paraId="12D15CD3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  <w:b/>
                <w:bCs/>
              </w:rPr>
              <w:t>Total</w:t>
            </w:r>
          </w:p>
        </w:tc>
        <w:tc>
          <w:tcPr>
            <w:tcW w:w="0" w:type="auto"/>
            <w:hideMark/>
          </w:tcPr>
          <w:p w14:paraId="04E2C301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hideMark/>
          </w:tcPr>
          <w:p w14:paraId="0A5FA142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  <w:b/>
                <w:bCs/>
              </w:rPr>
              <w:t>7,730</w:t>
            </w:r>
          </w:p>
        </w:tc>
        <w:tc>
          <w:tcPr>
            <w:tcW w:w="0" w:type="auto"/>
            <w:hideMark/>
          </w:tcPr>
          <w:p w14:paraId="11BA14AE" w14:textId="77777777" w:rsidR="00D338A3" w:rsidRPr="00D338A3" w:rsidRDefault="00D338A3" w:rsidP="00D338A3">
            <w:pPr>
              <w:spacing w:line="480" w:lineRule="auto"/>
              <w:rPr>
                <w:rFonts w:ascii="Times New Roman" w:eastAsia="Calibri" w:hAnsi="Times New Roman" w:cs="Times New Roman"/>
              </w:rPr>
            </w:pPr>
            <w:r w:rsidRPr="00D338A3">
              <w:rPr>
                <w:rFonts w:ascii="Times New Roman" w:eastAsia="Calibri" w:hAnsi="Times New Roman" w:cs="Times New Roman"/>
                <w:b/>
                <w:bCs/>
              </w:rPr>
              <w:t>100.0</w:t>
            </w:r>
          </w:p>
        </w:tc>
      </w:tr>
    </w:tbl>
    <w:p w14:paraId="73677D9F" w14:textId="77777777" w:rsidR="00D338A3" w:rsidRPr="00D338A3" w:rsidRDefault="00D338A3" w:rsidP="00D338A3">
      <w:pPr>
        <w:spacing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338A3">
        <w:rPr>
          <w:rFonts w:ascii="Times New Roman" w:eastAsia="Calibri" w:hAnsi="Times New Roman" w:cs="Times New Roman"/>
          <w:kern w:val="0"/>
          <w14:ligatures w14:val="none"/>
        </w:rPr>
        <w:t>* Developmental = unerupted, partially erupted, or exfoliated teeth.</w:t>
      </w:r>
    </w:p>
    <w:p w14:paraId="644B3279" w14:textId="77777777" w:rsidR="00D338A3" w:rsidRPr="00D338A3" w:rsidRDefault="00D338A3" w:rsidP="00D338A3">
      <w:pPr>
        <w:spacing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338A3">
        <w:rPr>
          <w:rFonts w:ascii="Times New Roman" w:eastAsia="Calibri" w:hAnsi="Times New Roman" w:cs="Times New Roman"/>
          <w:kern w:val="0"/>
          <w14:ligatures w14:val="none"/>
        </w:rPr>
        <w:t>* Among the 58 teeth classified remotely as developmental but identified clinically as carious. Of these teeth, 48 (82.8%) were primary teeth, predominantly primary molars, and 10 (17.2%) were permanent teeth.</w:t>
      </w:r>
    </w:p>
    <w:p w14:paraId="33DC3395" w14:textId="77777777" w:rsidR="00D338A3" w:rsidRPr="00D338A3" w:rsidRDefault="00D338A3" w:rsidP="00D338A3">
      <w:pPr>
        <w:spacing w:line="259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338A3">
        <w:rPr>
          <w:rFonts w:ascii="Times New Roman" w:eastAsia="Calibri" w:hAnsi="Times New Roman" w:cs="Times New Roman"/>
          <w:kern w:val="0"/>
          <w14:ligatures w14:val="none"/>
        </w:rPr>
        <w:br w:type="page"/>
      </w:r>
    </w:p>
    <w:p w14:paraId="21B3BCFD" w14:textId="77777777" w:rsidR="00D338A3" w:rsidRPr="00D338A3" w:rsidRDefault="00D338A3" w:rsidP="00D338A3">
      <w:pPr>
        <w:spacing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D338A3">
        <w:rPr>
          <w:rFonts w:ascii="Times New Roman" w:eastAsia="Calibri" w:hAnsi="Times New Roman" w:cs="Times New Roman"/>
          <w:b/>
          <w:bCs/>
          <w:kern w:val="0"/>
          <w14:ligatures w14:val="none"/>
        </w:rPr>
        <w:lastRenderedPageBreak/>
        <w:t>Supplementary Table S2. Inter-rater reliability across all examiner pair combinations.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5"/>
        <w:gridCol w:w="2315"/>
      </w:tblGrid>
      <w:tr w:rsidR="00D338A3" w:rsidRPr="00D338A3" w14:paraId="0D5F0A25" w14:textId="77777777" w:rsidTr="006E5917">
        <w:tc>
          <w:tcPr>
            <w:tcW w:w="0" w:type="auto"/>
            <w:hideMark/>
          </w:tcPr>
          <w:p w14:paraId="0765F1EE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</w:rPr>
              <w:t>Examiner Pair</w:t>
            </w:r>
          </w:p>
        </w:tc>
        <w:tc>
          <w:tcPr>
            <w:tcW w:w="2315" w:type="dxa"/>
            <w:hideMark/>
          </w:tcPr>
          <w:p w14:paraId="6CFEFDE4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</w:rPr>
              <w:t>Cohen's Kappa (κ)*</w:t>
            </w:r>
          </w:p>
        </w:tc>
      </w:tr>
      <w:tr w:rsidR="00D338A3" w:rsidRPr="00D338A3" w14:paraId="7E33EEE1" w14:textId="77777777" w:rsidTr="006E5917">
        <w:tc>
          <w:tcPr>
            <w:tcW w:w="0" w:type="auto"/>
            <w:hideMark/>
          </w:tcPr>
          <w:p w14:paraId="1214D9BA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A–B</w:t>
            </w:r>
          </w:p>
        </w:tc>
        <w:tc>
          <w:tcPr>
            <w:tcW w:w="2315" w:type="dxa"/>
            <w:hideMark/>
          </w:tcPr>
          <w:p w14:paraId="44F17575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0.880</w:t>
            </w:r>
          </w:p>
        </w:tc>
      </w:tr>
      <w:tr w:rsidR="00D338A3" w:rsidRPr="00D338A3" w14:paraId="543DAB8B" w14:textId="77777777" w:rsidTr="006E5917">
        <w:tc>
          <w:tcPr>
            <w:tcW w:w="0" w:type="auto"/>
            <w:hideMark/>
          </w:tcPr>
          <w:p w14:paraId="296024BA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A–D</w:t>
            </w:r>
          </w:p>
        </w:tc>
        <w:tc>
          <w:tcPr>
            <w:tcW w:w="2315" w:type="dxa"/>
            <w:hideMark/>
          </w:tcPr>
          <w:p w14:paraId="686DB821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0.855</w:t>
            </w:r>
          </w:p>
        </w:tc>
      </w:tr>
      <w:tr w:rsidR="00D338A3" w:rsidRPr="00D338A3" w14:paraId="6ECF53A0" w14:textId="77777777" w:rsidTr="006E5917">
        <w:tc>
          <w:tcPr>
            <w:tcW w:w="0" w:type="auto"/>
            <w:hideMark/>
          </w:tcPr>
          <w:p w14:paraId="5CEAE05E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D–B</w:t>
            </w:r>
          </w:p>
        </w:tc>
        <w:tc>
          <w:tcPr>
            <w:tcW w:w="2315" w:type="dxa"/>
            <w:hideMark/>
          </w:tcPr>
          <w:p w14:paraId="39AE4D11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0.850</w:t>
            </w:r>
          </w:p>
        </w:tc>
      </w:tr>
      <w:tr w:rsidR="00D338A3" w:rsidRPr="00D338A3" w14:paraId="0D7197DC" w14:textId="77777777" w:rsidTr="006E5917">
        <w:tc>
          <w:tcPr>
            <w:tcW w:w="0" w:type="auto"/>
            <w:hideMark/>
          </w:tcPr>
          <w:p w14:paraId="22C801C9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C–B</w:t>
            </w:r>
          </w:p>
        </w:tc>
        <w:tc>
          <w:tcPr>
            <w:tcW w:w="2315" w:type="dxa"/>
            <w:hideMark/>
          </w:tcPr>
          <w:p w14:paraId="6DF93BA2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0.812</w:t>
            </w:r>
          </w:p>
        </w:tc>
      </w:tr>
      <w:tr w:rsidR="00D338A3" w:rsidRPr="00D338A3" w14:paraId="74087828" w14:textId="77777777" w:rsidTr="006E5917">
        <w:tc>
          <w:tcPr>
            <w:tcW w:w="0" w:type="auto"/>
            <w:hideMark/>
          </w:tcPr>
          <w:p w14:paraId="59DB9CE0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A–C</w:t>
            </w:r>
          </w:p>
        </w:tc>
        <w:tc>
          <w:tcPr>
            <w:tcW w:w="2315" w:type="dxa"/>
            <w:hideMark/>
          </w:tcPr>
          <w:p w14:paraId="591E21ED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0.795</w:t>
            </w:r>
          </w:p>
        </w:tc>
      </w:tr>
      <w:tr w:rsidR="00D338A3" w:rsidRPr="00D338A3" w14:paraId="5B74B15D" w14:textId="77777777" w:rsidTr="006E5917">
        <w:tc>
          <w:tcPr>
            <w:tcW w:w="0" w:type="auto"/>
            <w:hideMark/>
          </w:tcPr>
          <w:p w14:paraId="03F6886D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E–D</w:t>
            </w:r>
          </w:p>
        </w:tc>
        <w:tc>
          <w:tcPr>
            <w:tcW w:w="2315" w:type="dxa"/>
            <w:hideMark/>
          </w:tcPr>
          <w:p w14:paraId="23DC74AC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0.778</w:t>
            </w:r>
          </w:p>
        </w:tc>
      </w:tr>
      <w:tr w:rsidR="00D338A3" w:rsidRPr="00D338A3" w14:paraId="4AD3A5EC" w14:textId="77777777" w:rsidTr="006E5917">
        <w:tc>
          <w:tcPr>
            <w:tcW w:w="0" w:type="auto"/>
            <w:hideMark/>
          </w:tcPr>
          <w:p w14:paraId="26C5368C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E–C</w:t>
            </w:r>
          </w:p>
        </w:tc>
        <w:tc>
          <w:tcPr>
            <w:tcW w:w="2315" w:type="dxa"/>
            <w:hideMark/>
          </w:tcPr>
          <w:p w14:paraId="76CA52B3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0.725</w:t>
            </w:r>
          </w:p>
        </w:tc>
      </w:tr>
      <w:tr w:rsidR="00D338A3" w:rsidRPr="00D338A3" w14:paraId="67A12729" w14:textId="77777777" w:rsidTr="006E5917">
        <w:tc>
          <w:tcPr>
            <w:tcW w:w="0" w:type="auto"/>
            <w:hideMark/>
          </w:tcPr>
          <w:p w14:paraId="3491232E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D–C</w:t>
            </w:r>
          </w:p>
        </w:tc>
        <w:tc>
          <w:tcPr>
            <w:tcW w:w="2315" w:type="dxa"/>
            <w:hideMark/>
          </w:tcPr>
          <w:p w14:paraId="3EFF6A63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0.701</w:t>
            </w:r>
          </w:p>
        </w:tc>
      </w:tr>
      <w:tr w:rsidR="00D338A3" w:rsidRPr="00D338A3" w14:paraId="2BB1A7D5" w14:textId="77777777" w:rsidTr="006E5917">
        <w:tc>
          <w:tcPr>
            <w:tcW w:w="0" w:type="auto"/>
            <w:hideMark/>
          </w:tcPr>
          <w:p w14:paraId="2C684FE0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A–E</w:t>
            </w:r>
          </w:p>
        </w:tc>
        <w:tc>
          <w:tcPr>
            <w:tcW w:w="2315" w:type="dxa"/>
            <w:hideMark/>
          </w:tcPr>
          <w:p w14:paraId="38CD0125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0.688</w:t>
            </w:r>
          </w:p>
        </w:tc>
      </w:tr>
      <w:tr w:rsidR="00D338A3" w:rsidRPr="00D338A3" w14:paraId="058BAF6F" w14:textId="77777777" w:rsidTr="006E5917">
        <w:tc>
          <w:tcPr>
            <w:tcW w:w="0" w:type="auto"/>
            <w:hideMark/>
          </w:tcPr>
          <w:p w14:paraId="5980637B" w14:textId="77777777" w:rsidR="00D338A3" w:rsidRPr="00D338A3" w:rsidRDefault="00D338A3" w:rsidP="00D338A3">
            <w:pPr>
              <w:spacing w:line="480" w:lineRule="auto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E–B</w:t>
            </w:r>
          </w:p>
        </w:tc>
        <w:tc>
          <w:tcPr>
            <w:tcW w:w="2315" w:type="dxa"/>
            <w:hideMark/>
          </w:tcPr>
          <w:p w14:paraId="2D753C01" w14:textId="77777777" w:rsidR="00D338A3" w:rsidRPr="00D338A3" w:rsidRDefault="00D338A3" w:rsidP="00D338A3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38A3">
              <w:rPr>
                <w:rFonts w:ascii="Times New Roman" w:eastAsia="Times New Roman" w:hAnsi="Times New Roman" w:cs="Times New Roman"/>
              </w:rPr>
              <w:t>0.686</w:t>
            </w:r>
          </w:p>
        </w:tc>
      </w:tr>
    </w:tbl>
    <w:p w14:paraId="5AD5EA39" w14:textId="77777777" w:rsidR="00D338A3" w:rsidRPr="00D338A3" w:rsidRDefault="00D338A3" w:rsidP="00D338A3">
      <w:pPr>
        <w:spacing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338A3">
        <w:rPr>
          <w:rFonts w:ascii="Times New Roman" w:eastAsia="Calibri" w:hAnsi="Times New Roman" w:cs="Times New Roman"/>
          <w:kern w:val="0"/>
          <w14:ligatures w14:val="none"/>
        </w:rPr>
        <w:t>*Examiner identities have been anonymized (A–E). All comparisons were statistically significant (p &lt; 0.001).</w:t>
      </w:r>
    </w:p>
    <w:p w14:paraId="5B876FB0" w14:textId="77777777" w:rsidR="00D338A3" w:rsidRPr="00D338A3" w:rsidRDefault="00D338A3" w:rsidP="00D338A3">
      <w:pPr>
        <w:spacing w:line="259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338A3">
        <w:rPr>
          <w:rFonts w:ascii="Calibri" w:eastAsia="Calibri" w:hAnsi="Calibri" w:cs="Arial"/>
          <w:kern w:val="0"/>
          <w:sz w:val="22"/>
          <w:szCs w:val="22"/>
          <w14:ligatures w14:val="none"/>
        </w:rPr>
        <w:br w:type="page"/>
      </w:r>
      <w:r w:rsidRPr="00D338A3">
        <w:rPr>
          <w:rFonts w:ascii="Times New Roman" w:eastAsia="Calibri" w:hAnsi="Times New Roman" w:cs="Times New Roman"/>
          <w:b/>
          <w:bCs/>
          <w:kern w:val="0"/>
          <w14:ligatures w14:val="none"/>
        </w:rPr>
        <w:lastRenderedPageBreak/>
        <w:t>Supplementary Table S3. Comparison of the current study with the previously published pilot study (Qari et al., 2024) [23].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5"/>
        <w:gridCol w:w="4140"/>
        <w:gridCol w:w="3505"/>
      </w:tblGrid>
      <w:tr w:rsidR="00D338A3" w:rsidRPr="00D338A3" w14:paraId="344ADDF5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75D48AC0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Characteristic</w:t>
            </w:r>
          </w:p>
        </w:tc>
        <w:tc>
          <w:tcPr>
            <w:tcW w:w="4140" w:type="dxa"/>
            <w:vAlign w:val="center"/>
            <w:hideMark/>
          </w:tcPr>
          <w:p w14:paraId="75DBE374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Current Study</w:t>
            </w:r>
          </w:p>
        </w:tc>
        <w:tc>
          <w:tcPr>
            <w:tcW w:w="3505" w:type="dxa"/>
            <w:vAlign w:val="center"/>
            <w:hideMark/>
          </w:tcPr>
          <w:p w14:paraId="0FB1D526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Pilot Study (Qari et al., 2024)</w:t>
            </w:r>
          </w:p>
        </w:tc>
      </w:tr>
      <w:tr w:rsidR="00D338A3" w:rsidRPr="00D338A3" w14:paraId="42B10015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3731E0F6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Study objective</w:t>
            </w:r>
          </w:p>
        </w:tc>
        <w:tc>
          <w:tcPr>
            <w:tcW w:w="4140" w:type="dxa"/>
            <w:vAlign w:val="center"/>
            <w:hideMark/>
          </w:tcPr>
          <w:p w14:paraId="0F9018DC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Evaluate the diagnostic accuracy of smartphone-based </w:t>
            </w:r>
            <w:proofErr w:type="spellStart"/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teledentistry</w:t>
            </w:r>
            <w:proofErr w:type="spellEnd"/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for detecting dental caries among schoolchildren using intraoral photographs.</w:t>
            </w:r>
          </w:p>
        </w:tc>
        <w:tc>
          <w:tcPr>
            <w:tcW w:w="3505" w:type="dxa"/>
            <w:vAlign w:val="center"/>
            <w:hideMark/>
          </w:tcPr>
          <w:p w14:paraId="26165B15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Evaluate the diagnostic accuracy of smartphone-based </w:t>
            </w:r>
            <w:proofErr w:type="spellStart"/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teledentistry</w:t>
            </w:r>
            <w:proofErr w:type="spellEnd"/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for detecting dental caries among adult dental patients using intraoral photographs.</w:t>
            </w:r>
          </w:p>
        </w:tc>
      </w:tr>
      <w:tr w:rsidR="00D338A3" w:rsidRPr="00D338A3" w14:paraId="22C44C10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1B5CFC19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Study population</w:t>
            </w:r>
          </w:p>
        </w:tc>
        <w:tc>
          <w:tcPr>
            <w:tcW w:w="4140" w:type="dxa"/>
            <w:vAlign w:val="center"/>
            <w:hideMark/>
          </w:tcPr>
          <w:p w14:paraId="59401616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Schoolchildren, aged 12–13 years, in mixed dentition stage.</w:t>
            </w:r>
          </w:p>
        </w:tc>
        <w:tc>
          <w:tcPr>
            <w:tcW w:w="3505" w:type="dxa"/>
            <w:vAlign w:val="center"/>
            <w:hideMark/>
          </w:tcPr>
          <w:p w14:paraId="0A9C1D04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Adult dental patients (mean age 30 ± 12 years), permanent dentition.</w:t>
            </w:r>
          </w:p>
          <w:p w14:paraId="2211DFD2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D338A3" w:rsidRPr="00D338A3" w14:paraId="2B7849FE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5FA6D44F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Study setting</w:t>
            </w:r>
          </w:p>
        </w:tc>
        <w:tc>
          <w:tcPr>
            <w:tcW w:w="4140" w:type="dxa"/>
            <w:vAlign w:val="center"/>
            <w:hideMark/>
          </w:tcPr>
          <w:p w14:paraId="1E2BB404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School-based screening (Intermediate Schools in Makkah).</w:t>
            </w:r>
          </w:p>
        </w:tc>
        <w:tc>
          <w:tcPr>
            <w:tcW w:w="3505" w:type="dxa"/>
            <w:vAlign w:val="center"/>
            <w:hideMark/>
          </w:tcPr>
          <w:p w14:paraId="0DA5C4B7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Dental Teaching Hospital at UQU in Makkah.</w:t>
            </w:r>
          </w:p>
        </w:tc>
      </w:tr>
      <w:tr w:rsidR="00D338A3" w:rsidRPr="00D338A3" w14:paraId="06E888B8" w14:textId="77777777" w:rsidTr="006E5917">
        <w:trPr>
          <w:jc w:val="center"/>
        </w:trPr>
        <w:tc>
          <w:tcPr>
            <w:tcW w:w="1705" w:type="dxa"/>
            <w:vAlign w:val="center"/>
          </w:tcPr>
          <w:p w14:paraId="40BB60E0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Sample size</w:t>
            </w:r>
          </w:p>
        </w:tc>
        <w:tc>
          <w:tcPr>
            <w:tcW w:w="4140" w:type="dxa"/>
            <w:vAlign w:val="center"/>
          </w:tcPr>
          <w:p w14:paraId="6F8055C7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16,704 teeth; 6,960 primary and 9,744 permanent teeth.</w:t>
            </w:r>
          </w:p>
        </w:tc>
        <w:tc>
          <w:tcPr>
            <w:tcW w:w="3505" w:type="dxa"/>
            <w:vAlign w:val="center"/>
          </w:tcPr>
          <w:p w14:paraId="29679C6B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644 permanent teeth.</w:t>
            </w:r>
          </w:p>
        </w:tc>
      </w:tr>
      <w:tr w:rsidR="00D338A3" w:rsidRPr="00D338A3" w14:paraId="0518BDC5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21D1B823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Image acquisition</w:t>
            </w:r>
          </w:p>
        </w:tc>
        <w:tc>
          <w:tcPr>
            <w:tcW w:w="4140" w:type="dxa"/>
            <w:vAlign w:val="center"/>
            <w:hideMark/>
          </w:tcPr>
          <w:p w14:paraId="0591E086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Smartphone-acquired intraoral photographs using a standardized imaging protocol by trained non-dental personnel.</w:t>
            </w:r>
          </w:p>
        </w:tc>
        <w:tc>
          <w:tcPr>
            <w:tcW w:w="3505" w:type="dxa"/>
            <w:vAlign w:val="center"/>
            <w:hideMark/>
          </w:tcPr>
          <w:p w14:paraId="485F24EF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Smartphone-acquired intraoral photographs obtained by trained dental students and participants (guided through instructional brochure and a video).</w:t>
            </w:r>
          </w:p>
        </w:tc>
      </w:tr>
      <w:tr w:rsidR="00D338A3" w:rsidRPr="00D338A3" w14:paraId="08F44511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2134D2FC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Reference standard</w:t>
            </w:r>
          </w:p>
        </w:tc>
        <w:tc>
          <w:tcPr>
            <w:tcW w:w="4140" w:type="dxa"/>
            <w:vAlign w:val="center"/>
            <w:hideMark/>
          </w:tcPr>
          <w:p w14:paraId="028ECBAB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Visual clinical examination</w:t>
            </w:r>
          </w:p>
        </w:tc>
        <w:tc>
          <w:tcPr>
            <w:tcW w:w="3505" w:type="dxa"/>
            <w:vAlign w:val="center"/>
            <w:hideMark/>
          </w:tcPr>
          <w:p w14:paraId="3B28027D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Visual clinical examination</w:t>
            </w:r>
          </w:p>
        </w:tc>
      </w:tr>
      <w:tr w:rsidR="00D338A3" w:rsidRPr="00D338A3" w14:paraId="32BD8604" w14:textId="77777777" w:rsidTr="006E5917">
        <w:trPr>
          <w:jc w:val="center"/>
        </w:trPr>
        <w:tc>
          <w:tcPr>
            <w:tcW w:w="1705" w:type="dxa"/>
            <w:vAlign w:val="center"/>
          </w:tcPr>
          <w:p w14:paraId="1E0A4484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Outcomes</w:t>
            </w:r>
          </w:p>
        </w:tc>
        <w:tc>
          <w:tcPr>
            <w:tcW w:w="4140" w:type="dxa"/>
            <w:vAlign w:val="center"/>
          </w:tcPr>
          <w:p w14:paraId="0AF33D4B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Accuracy of tele screening compared to visual clinical examination, reported as overall tooth-level and accuracy by tooth type.</w:t>
            </w:r>
          </w:p>
        </w:tc>
        <w:tc>
          <w:tcPr>
            <w:tcW w:w="3505" w:type="dxa"/>
            <w:vAlign w:val="center"/>
          </w:tcPr>
          <w:p w14:paraId="308328B5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Accuracy of patient-delivered, dentist-delivered tele-screening compared to visual clinical examination.</w:t>
            </w:r>
          </w:p>
        </w:tc>
      </w:tr>
      <w:tr w:rsidR="00D338A3" w:rsidRPr="00D338A3" w14:paraId="6F169156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2BCB0E43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Sensitivity</w:t>
            </w:r>
          </w:p>
        </w:tc>
        <w:tc>
          <w:tcPr>
            <w:tcW w:w="4140" w:type="dxa"/>
            <w:vAlign w:val="center"/>
            <w:hideMark/>
          </w:tcPr>
          <w:p w14:paraId="27EEECC5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Overall: 77.4%</w:t>
            </w:r>
          </w:p>
          <w:p w14:paraId="13FDFF89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Permanent: 73.6%</w:t>
            </w:r>
          </w:p>
          <w:p w14:paraId="1240E691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Primary: 96.9%</w:t>
            </w:r>
          </w:p>
        </w:tc>
        <w:tc>
          <w:tcPr>
            <w:tcW w:w="3505" w:type="dxa"/>
            <w:vAlign w:val="center"/>
            <w:hideMark/>
          </w:tcPr>
          <w:p w14:paraId="5ED9FA34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Patient-delivered: 93.9%</w:t>
            </w:r>
          </w:p>
          <w:p w14:paraId="6B607933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Dentist-delivered: 88.43–88.5%</w:t>
            </w:r>
          </w:p>
        </w:tc>
      </w:tr>
      <w:tr w:rsidR="00D338A3" w:rsidRPr="00D338A3" w14:paraId="2D5ADA6C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4FD27B2A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Specificity</w:t>
            </w:r>
          </w:p>
        </w:tc>
        <w:tc>
          <w:tcPr>
            <w:tcW w:w="4140" w:type="dxa"/>
            <w:vAlign w:val="center"/>
            <w:hideMark/>
          </w:tcPr>
          <w:p w14:paraId="58CBDBE3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Overall: 96.6%</w:t>
            </w:r>
          </w:p>
          <w:p w14:paraId="1FBF874E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Permanent: 96.9%</w:t>
            </w:r>
          </w:p>
          <w:p w14:paraId="11B68E23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Primary: 83.0%</w:t>
            </w:r>
          </w:p>
        </w:tc>
        <w:tc>
          <w:tcPr>
            <w:tcW w:w="3505" w:type="dxa"/>
            <w:vAlign w:val="center"/>
            <w:hideMark/>
          </w:tcPr>
          <w:p w14:paraId="23777D2E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Patient-delivered: 89.73%</w:t>
            </w:r>
          </w:p>
          <w:p w14:paraId="3A0A047C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Dentist-delivered: 87.76–90.58%</w:t>
            </w:r>
          </w:p>
        </w:tc>
      </w:tr>
      <w:tr w:rsidR="00D338A3" w:rsidRPr="00D338A3" w14:paraId="48FD82B7" w14:textId="77777777" w:rsidTr="006E5917">
        <w:trPr>
          <w:jc w:val="center"/>
        </w:trPr>
        <w:tc>
          <w:tcPr>
            <w:tcW w:w="1705" w:type="dxa"/>
            <w:vAlign w:val="center"/>
          </w:tcPr>
          <w:p w14:paraId="117A1EC1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Positive Predictive Value</w:t>
            </w:r>
          </w:p>
        </w:tc>
        <w:tc>
          <w:tcPr>
            <w:tcW w:w="4140" w:type="dxa"/>
            <w:vAlign w:val="center"/>
          </w:tcPr>
          <w:p w14:paraId="14FA8A76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Overall: 82.3%</w:t>
            </w:r>
          </w:p>
          <w:p w14:paraId="6A9E9B1E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Permanent: 80.3%</w:t>
            </w:r>
          </w:p>
          <w:p w14:paraId="61B1CE53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Primary: 91.0%</w:t>
            </w:r>
          </w:p>
        </w:tc>
        <w:tc>
          <w:tcPr>
            <w:tcW w:w="3505" w:type="dxa"/>
            <w:vAlign w:val="center"/>
          </w:tcPr>
          <w:p w14:paraId="7D452CBA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Patient-delivered: 81.91%</w:t>
            </w:r>
          </w:p>
          <w:p w14:paraId="61D1CEF5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Dentist-delivered:80.82- 86.04%</w:t>
            </w:r>
          </w:p>
        </w:tc>
      </w:tr>
      <w:tr w:rsidR="00D338A3" w:rsidRPr="00D338A3" w14:paraId="203D8C99" w14:textId="77777777" w:rsidTr="006E5917">
        <w:trPr>
          <w:jc w:val="center"/>
        </w:trPr>
        <w:tc>
          <w:tcPr>
            <w:tcW w:w="1705" w:type="dxa"/>
            <w:vAlign w:val="center"/>
          </w:tcPr>
          <w:p w14:paraId="408C8E08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Negative Predictive Value.</w:t>
            </w:r>
          </w:p>
        </w:tc>
        <w:tc>
          <w:tcPr>
            <w:tcW w:w="4140" w:type="dxa"/>
            <w:vAlign w:val="center"/>
          </w:tcPr>
          <w:p w14:paraId="6B31A3CB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Overall: 95.5%</w:t>
            </w:r>
          </w:p>
          <w:p w14:paraId="6A65893F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Permanent: 95.5%</w:t>
            </w:r>
          </w:p>
          <w:p w14:paraId="544F224F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Primary: 93.9%</w:t>
            </w:r>
          </w:p>
        </w:tc>
        <w:tc>
          <w:tcPr>
            <w:tcW w:w="3505" w:type="dxa"/>
            <w:vAlign w:val="center"/>
          </w:tcPr>
          <w:p w14:paraId="7AE4042B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Patient-delivered: 96.74%</w:t>
            </w:r>
          </w:p>
          <w:p w14:paraId="1880CCCD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Dentist-delivered: 92.26- 92.9%</w:t>
            </w:r>
          </w:p>
        </w:tc>
      </w:tr>
      <w:tr w:rsidR="00D338A3" w:rsidRPr="00D338A3" w14:paraId="18295A39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74477EEE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Overall diagnostic accuracy</w:t>
            </w:r>
          </w:p>
        </w:tc>
        <w:tc>
          <w:tcPr>
            <w:tcW w:w="4140" w:type="dxa"/>
            <w:vAlign w:val="center"/>
            <w:hideMark/>
          </w:tcPr>
          <w:p w14:paraId="75DD56E3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Overall: 93.4%</w:t>
            </w:r>
          </w:p>
          <w:p w14:paraId="475B27FE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Permanent: 93.4%</w:t>
            </w:r>
          </w:p>
          <w:p w14:paraId="0F1A19E9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Primary: 92.0%</w:t>
            </w:r>
          </w:p>
        </w:tc>
        <w:tc>
          <w:tcPr>
            <w:tcW w:w="3505" w:type="dxa"/>
            <w:vAlign w:val="center"/>
            <w:hideMark/>
          </w:tcPr>
          <w:p w14:paraId="7760C2ED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Patient-delivered: 91.11%</w:t>
            </w:r>
          </w:p>
          <w:p w14:paraId="562302A5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Dentist-delivered: 88.03- 89.72%</w:t>
            </w:r>
          </w:p>
        </w:tc>
      </w:tr>
      <w:tr w:rsidR="00D338A3" w:rsidRPr="00D338A3" w14:paraId="086A71A6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0576EDDD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Cohen's Kappa (κ)</w:t>
            </w:r>
          </w:p>
        </w:tc>
        <w:tc>
          <w:tcPr>
            <w:tcW w:w="4140" w:type="dxa"/>
            <w:vAlign w:val="center"/>
            <w:hideMark/>
          </w:tcPr>
          <w:p w14:paraId="3E8FF0C1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Overall: 0.76</w:t>
            </w:r>
          </w:p>
          <w:p w14:paraId="3314022B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Permanent: 0.72</w:t>
            </w:r>
          </w:p>
          <w:p w14:paraId="21A3EE3C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Primary: 0.71</w:t>
            </w:r>
          </w:p>
        </w:tc>
        <w:tc>
          <w:tcPr>
            <w:tcW w:w="3505" w:type="dxa"/>
            <w:vAlign w:val="center"/>
            <w:hideMark/>
          </w:tcPr>
          <w:p w14:paraId="28F739A2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Patient-delivered: 0.81</w:t>
            </w:r>
          </w:p>
          <w:p w14:paraId="2F6ABA6B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Dentist-delivered: 0.75–0.79</w:t>
            </w:r>
          </w:p>
          <w:p w14:paraId="2C7E680C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D338A3" w:rsidRPr="00D338A3" w14:paraId="2A585E2E" w14:textId="77777777" w:rsidTr="006E5917">
        <w:trPr>
          <w:jc w:val="center"/>
        </w:trPr>
        <w:tc>
          <w:tcPr>
            <w:tcW w:w="1705" w:type="dxa"/>
            <w:vAlign w:val="center"/>
            <w:hideMark/>
          </w:tcPr>
          <w:p w14:paraId="7696A63F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Main conclusion</w:t>
            </w:r>
          </w:p>
        </w:tc>
        <w:tc>
          <w:tcPr>
            <w:tcW w:w="4140" w:type="dxa"/>
            <w:vAlign w:val="center"/>
            <w:hideMark/>
          </w:tcPr>
          <w:p w14:paraId="0C74C0E4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Smartphone-based </w:t>
            </w:r>
            <w:proofErr w:type="spellStart"/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teledentistry</w:t>
            </w:r>
            <w:proofErr w:type="spellEnd"/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demonstrated acceptable diagnostic performance as a screening tool for school-based populations comparable to visual clinical examination.</w:t>
            </w:r>
          </w:p>
        </w:tc>
        <w:tc>
          <w:tcPr>
            <w:tcW w:w="3505" w:type="dxa"/>
            <w:vAlign w:val="center"/>
            <w:hideMark/>
          </w:tcPr>
          <w:p w14:paraId="7618A3FF" w14:textId="77777777" w:rsidR="00D338A3" w:rsidRPr="00D338A3" w:rsidRDefault="00D338A3" w:rsidP="00D338A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38A3">
              <w:rPr>
                <w:rFonts w:ascii="Times New Roman" w:eastAsia="Times New Roman" w:hAnsi="Times New Roman" w:cs="Times New Roman"/>
                <w:sz w:val="22"/>
                <w:szCs w:val="22"/>
              </w:rPr>
              <w:t>Smartphone-based tele-screening using intraoral photographs taken by patients showed valid and reliable diagnostic performance compared with visual clinical examination.</w:t>
            </w:r>
          </w:p>
        </w:tc>
      </w:tr>
    </w:tbl>
    <w:p w14:paraId="7BACF6D0" w14:textId="77777777" w:rsidR="00244F6C" w:rsidRDefault="00244F6C"/>
    <w:sectPr w:rsidR="00244F6C" w:rsidSect="00D338A3">
      <w:footerReference w:type="even" r:id="rId4"/>
      <w:footerReference w:type="default" r:id="rId5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40256473"/>
      <w:docPartObj>
        <w:docPartGallery w:val="Page Numbers (Bottom of Page)"/>
        <w:docPartUnique/>
      </w:docPartObj>
    </w:sdtPr>
    <w:sdtContent>
      <w:p w14:paraId="7D471288" w14:textId="77777777" w:rsidR="00D338A3" w:rsidRDefault="00D338A3" w:rsidP="008858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17</w:t>
        </w:r>
        <w:r>
          <w:rPr>
            <w:rStyle w:val="PageNumber"/>
          </w:rPr>
          <w:fldChar w:fldCharType="end"/>
        </w:r>
      </w:p>
    </w:sdtContent>
  </w:sdt>
  <w:p w14:paraId="2A9EDE6C" w14:textId="77777777" w:rsidR="00D338A3" w:rsidRDefault="00D338A3" w:rsidP="009660E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268301766"/>
      <w:docPartObj>
        <w:docPartGallery w:val="Page Numbers (Bottom of Page)"/>
        <w:docPartUnique/>
      </w:docPartObj>
    </w:sdtPr>
    <w:sdtContent>
      <w:p w14:paraId="258BC979" w14:textId="77777777" w:rsidR="00D338A3" w:rsidRDefault="00D338A3" w:rsidP="008858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EBCFBD9" w14:textId="77777777" w:rsidR="00D338A3" w:rsidRDefault="00D338A3" w:rsidP="009660E8">
    <w:pPr>
      <w:pStyle w:val="Footer"/>
      <w:ind w:right="360"/>
    </w:pPr>
  </w:p>
</w:ft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127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8A3"/>
    <w:rsid w:val="00001166"/>
    <w:rsid w:val="00025F37"/>
    <w:rsid w:val="0004257F"/>
    <w:rsid w:val="00047E00"/>
    <w:rsid w:val="00063BBF"/>
    <w:rsid w:val="000701ED"/>
    <w:rsid w:val="0009778D"/>
    <w:rsid w:val="00097D36"/>
    <w:rsid w:val="000A1E0E"/>
    <w:rsid w:val="000A728B"/>
    <w:rsid w:val="000C5E84"/>
    <w:rsid w:val="000C7071"/>
    <w:rsid w:val="000D0879"/>
    <w:rsid w:val="000D196D"/>
    <w:rsid w:val="000D211C"/>
    <w:rsid w:val="000E53D5"/>
    <w:rsid w:val="000F5BB4"/>
    <w:rsid w:val="00117375"/>
    <w:rsid w:val="00127F6F"/>
    <w:rsid w:val="0013790D"/>
    <w:rsid w:val="00153392"/>
    <w:rsid w:val="00181E83"/>
    <w:rsid w:val="001A31E4"/>
    <w:rsid w:val="001B0713"/>
    <w:rsid w:val="001B532A"/>
    <w:rsid w:val="001C2343"/>
    <w:rsid w:val="001E4758"/>
    <w:rsid w:val="001E782E"/>
    <w:rsid w:val="001F59D6"/>
    <w:rsid w:val="00201D44"/>
    <w:rsid w:val="00202345"/>
    <w:rsid w:val="002057E0"/>
    <w:rsid w:val="00206DA8"/>
    <w:rsid w:val="00221CB3"/>
    <w:rsid w:val="00225B9A"/>
    <w:rsid w:val="00227A8C"/>
    <w:rsid w:val="00241A03"/>
    <w:rsid w:val="00244E3A"/>
    <w:rsid w:val="00244F6C"/>
    <w:rsid w:val="0024693B"/>
    <w:rsid w:val="002B6448"/>
    <w:rsid w:val="002B7A4C"/>
    <w:rsid w:val="002C1BA4"/>
    <w:rsid w:val="002D38CE"/>
    <w:rsid w:val="002E7278"/>
    <w:rsid w:val="00312D13"/>
    <w:rsid w:val="0033131E"/>
    <w:rsid w:val="0033459E"/>
    <w:rsid w:val="0034626E"/>
    <w:rsid w:val="003560E8"/>
    <w:rsid w:val="003762F6"/>
    <w:rsid w:val="00395DA1"/>
    <w:rsid w:val="003A4008"/>
    <w:rsid w:val="003A7B47"/>
    <w:rsid w:val="003C1B2B"/>
    <w:rsid w:val="003F2E9D"/>
    <w:rsid w:val="003F4B1E"/>
    <w:rsid w:val="0043743F"/>
    <w:rsid w:val="00463E97"/>
    <w:rsid w:val="00491ED7"/>
    <w:rsid w:val="00497A1D"/>
    <w:rsid w:val="004A74F0"/>
    <w:rsid w:val="004B48F5"/>
    <w:rsid w:val="004B6357"/>
    <w:rsid w:val="004C159A"/>
    <w:rsid w:val="004D793A"/>
    <w:rsid w:val="004E3DDD"/>
    <w:rsid w:val="004E4990"/>
    <w:rsid w:val="004F45F3"/>
    <w:rsid w:val="004F689C"/>
    <w:rsid w:val="004F68DA"/>
    <w:rsid w:val="005258FF"/>
    <w:rsid w:val="00525D72"/>
    <w:rsid w:val="005276F0"/>
    <w:rsid w:val="005300EB"/>
    <w:rsid w:val="00541576"/>
    <w:rsid w:val="005450B3"/>
    <w:rsid w:val="00555EC1"/>
    <w:rsid w:val="00561C2F"/>
    <w:rsid w:val="00583DBB"/>
    <w:rsid w:val="005A2498"/>
    <w:rsid w:val="005B30C1"/>
    <w:rsid w:val="005C0EE0"/>
    <w:rsid w:val="005D1993"/>
    <w:rsid w:val="005E318E"/>
    <w:rsid w:val="005E55DD"/>
    <w:rsid w:val="005E6EB1"/>
    <w:rsid w:val="006113B5"/>
    <w:rsid w:val="00627C85"/>
    <w:rsid w:val="006358B9"/>
    <w:rsid w:val="006428D9"/>
    <w:rsid w:val="00643285"/>
    <w:rsid w:val="00644A10"/>
    <w:rsid w:val="006640BF"/>
    <w:rsid w:val="006771C3"/>
    <w:rsid w:val="00682503"/>
    <w:rsid w:val="00694354"/>
    <w:rsid w:val="0069703C"/>
    <w:rsid w:val="00697D67"/>
    <w:rsid w:val="006A5C56"/>
    <w:rsid w:val="006B7FA6"/>
    <w:rsid w:val="006E08C5"/>
    <w:rsid w:val="006E4291"/>
    <w:rsid w:val="006E5623"/>
    <w:rsid w:val="006F232D"/>
    <w:rsid w:val="007166B9"/>
    <w:rsid w:val="00745010"/>
    <w:rsid w:val="00745E98"/>
    <w:rsid w:val="00763255"/>
    <w:rsid w:val="00773643"/>
    <w:rsid w:val="007915E5"/>
    <w:rsid w:val="007D3839"/>
    <w:rsid w:val="007E7B86"/>
    <w:rsid w:val="0080488B"/>
    <w:rsid w:val="00806050"/>
    <w:rsid w:val="00817AAD"/>
    <w:rsid w:val="008200EC"/>
    <w:rsid w:val="00866A41"/>
    <w:rsid w:val="00883A92"/>
    <w:rsid w:val="008851CB"/>
    <w:rsid w:val="00887170"/>
    <w:rsid w:val="008936A6"/>
    <w:rsid w:val="008A3BB3"/>
    <w:rsid w:val="008A5887"/>
    <w:rsid w:val="008B1F09"/>
    <w:rsid w:val="008D29F3"/>
    <w:rsid w:val="008E0631"/>
    <w:rsid w:val="008F2F8A"/>
    <w:rsid w:val="00911428"/>
    <w:rsid w:val="00922F47"/>
    <w:rsid w:val="00927639"/>
    <w:rsid w:val="009321CE"/>
    <w:rsid w:val="00934863"/>
    <w:rsid w:val="009437AE"/>
    <w:rsid w:val="00955F1B"/>
    <w:rsid w:val="00956CB8"/>
    <w:rsid w:val="00964E07"/>
    <w:rsid w:val="009A543C"/>
    <w:rsid w:val="009E1B31"/>
    <w:rsid w:val="009E2317"/>
    <w:rsid w:val="00A039C4"/>
    <w:rsid w:val="00A13EF5"/>
    <w:rsid w:val="00A22F62"/>
    <w:rsid w:val="00A51944"/>
    <w:rsid w:val="00A8117A"/>
    <w:rsid w:val="00A81821"/>
    <w:rsid w:val="00A84EDC"/>
    <w:rsid w:val="00A93A37"/>
    <w:rsid w:val="00A94643"/>
    <w:rsid w:val="00A95C47"/>
    <w:rsid w:val="00AA2757"/>
    <w:rsid w:val="00AA6B1C"/>
    <w:rsid w:val="00AB3B5B"/>
    <w:rsid w:val="00AB77ED"/>
    <w:rsid w:val="00AE4456"/>
    <w:rsid w:val="00AF0652"/>
    <w:rsid w:val="00B05A96"/>
    <w:rsid w:val="00B0779B"/>
    <w:rsid w:val="00B15156"/>
    <w:rsid w:val="00B25C82"/>
    <w:rsid w:val="00B332F6"/>
    <w:rsid w:val="00B433CC"/>
    <w:rsid w:val="00B45473"/>
    <w:rsid w:val="00B5582A"/>
    <w:rsid w:val="00B760B2"/>
    <w:rsid w:val="00B776A6"/>
    <w:rsid w:val="00B82507"/>
    <w:rsid w:val="00B860B8"/>
    <w:rsid w:val="00B96779"/>
    <w:rsid w:val="00B975C3"/>
    <w:rsid w:val="00BA5180"/>
    <w:rsid w:val="00BD25EA"/>
    <w:rsid w:val="00BF47B4"/>
    <w:rsid w:val="00C00E7F"/>
    <w:rsid w:val="00C11CD6"/>
    <w:rsid w:val="00C312A7"/>
    <w:rsid w:val="00C3148F"/>
    <w:rsid w:val="00C341CB"/>
    <w:rsid w:val="00C409C0"/>
    <w:rsid w:val="00C4144E"/>
    <w:rsid w:val="00C535EF"/>
    <w:rsid w:val="00C63376"/>
    <w:rsid w:val="00C72E51"/>
    <w:rsid w:val="00C8282C"/>
    <w:rsid w:val="00C86453"/>
    <w:rsid w:val="00CA57E7"/>
    <w:rsid w:val="00CC59AA"/>
    <w:rsid w:val="00CC75ED"/>
    <w:rsid w:val="00CE4C33"/>
    <w:rsid w:val="00CF6004"/>
    <w:rsid w:val="00D1428B"/>
    <w:rsid w:val="00D338A3"/>
    <w:rsid w:val="00D3509A"/>
    <w:rsid w:val="00D50C6A"/>
    <w:rsid w:val="00D81309"/>
    <w:rsid w:val="00D85927"/>
    <w:rsid w:val="00D865CF"/>
    <w:rsid w:val="00DB267A"/>
    <w:rsid w:val="00DC1E31"/>
    <w:rsid w:val="00DF17E2"/>
    <w:rsid w:val="00E03D5D"/>
    <w:rsid w:val="00E0444A"/>
    <w:rsid w:val="00E20EE4"/>
    <w:rsid w:val="00E24BA0"/>
    <w:rsid w:val="00E3799C"/>
    <w:rsid w:val="00E37CCC"/>
    <w:rsid w:val="00E52A44"/>
    <w:rsid w:val="00E616AE"/>
    <w:rsid w:val="00E71FD5"/>
    <w:rsid w:val="00E83B2B"/>
    <w:rsid w:val="00EC43DC"/>
    <w:rsid w:val="00ED7D64"/>
    <w:rsid w:val="00F5638B"/>
    <w:rsid w:val="00F602D2"/>
    <w:rsid w:val="00F66FDD"/>
    <w:rsid w:val="00F73578"/>
    <w:rsid w:val="00FB4303"/>
    <w:rsid w:val="00FB6EFE"/>
    <w:rsid w:val="00FC1E4D"/>
    <w:rsid w:val="00FC7EFD"/>
    <w:rsid w:val="00FE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C5C5E1"/>
  <w15:chartTrackingRefBased/>
  <w15:docId w15:val="{63FC0526-F93F-E847-AE40-8A1E70E70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8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8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8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8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8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8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8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8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8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8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8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8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8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8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8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8A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3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338A3"/>
    <w:pPr>
      <w:tabs>
        <w:tab w:val="center" w:pos="4680"/>
        <w:tab w:val="right" w:pos="9360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338A3"/>
    <w:rPr>
      <w:kern w:val="0"/>
      <w:sz w:val="22"/>
      <w:szCs w:val="22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D338A3"/>
  </w:style>
  <w:style w:type="character" w:styleId="LineNumber">
    <w:name w:val="line number"/>
    <w:basedOn w:val="DefaultParagraphFont"/>
    <w:uiPriority w:val="99"/>
    <w:semiHidden/>
    <w:unhideWhenUsed/>
    <w:rsid w:val="00D338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Reham M. Alsamman</dc:creator>
  <cp:keywords/>
  <dc:description/>
  <cp:lastModifiedBy>Reham M. Alsamman</cp:lastModifiedBy>
  <cp:revision>1</cp:revision>
  <dcterms:created xsi:type="dcterms:W3CDTF">2026-08-07T12:25:00Z</dcterms:created>
  <dcterms:modified xsi:type="dcterms:W3CDTF">2026-08-07T12:26:00Z</dcterms:modified>
</cp:coreProperties>
</file>