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62BC2" w14:textId="77777777" w:rsidR="000D7AAC" w:rsidRDefault="000D7AAC" w:rsidP="000D7AA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Supplementary Table S7</w:t>
      </w:r>
      <w:r>
        <w:rPr>
          <w:rFonts w:ascii="Times New Roman" w:hAnsi="Times New Roman" w:cs="Times New Roman"/>
        </w:rPr>
        <w:t>: Age- and sex-adjusted regression analyses for selected exploratory biomarker associations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473"/>
        <w:gridCol w:w="1167"/>
        <w:gridCol w:w="2567"/>
        <w:gridCol w:w="834"/>
      </w:tblGrid>
      <w:tr w:rsidR="000D7AAC" w:rsidRPr="001D0CB9" w14:paraId="6C331AB1" w14:textId="77777777" w:rsidTr="00396921">
        <w:trPr>
          <w:tblHeader/>
        </w:trPr>
        <w:tc>
          <w:tcPr>
            <w:tcW w:w="1985" w:type="dxa"/>
            <w:vAlign w:val="center"/>
            <w:hideMark/>
          </w:tcPr>
          <w:p w14:paraId="32299A61" w14:textId="77777777" w:rsidR="000D7AAC" w:rsidRPr="001D0CB9" w:rsidRDefault="000D7AAC" w:rsidP="00C50FB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  <w:t>Metal above the interpretive limit</w:t>
            </w:r>
          </w:p>
        </w:tc>
        <w:tc>
          <w:tcPr>
            <w:tcW w:w="2473" w:type="dxa"/>
            <w:vAlign w:val="center"/>
            <w:hideMark/>
          </w:tcPr>
          <w:p w14:paraId="01143A1B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  <w:t>Outcome</w:t>
            </w:r>
          </w:p>
        </w:tc>
        <w:tc>
          <w:tcPr>
            <w:tcW w:w="1167" w:type="dxa"/>
            <w:vAlign w:val="center"/>
            <w:hideMark/>
          </w:tcPr>
          <w:p w14:paraId="0005E080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  <w:t>Covariates</w:t>
            </w:r>
          </w:p>
        </w:tc>
        <w:tc>
          <w:tcPr>
            <w:tcW w:w="2567" w:type="dxa"/>
            <w:vAlign w:val="center"/>
            <w:hideMark/>
          </w:tcPr>
          <w:p w14:paraId="7C8234F0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  <w:t>Adjusted B (95% CI)</w:t>
            </w:r>
          </w:p>
        </w:tc>
        <w:tc>
          <w:tcPr>
            <w:tcW w:w="834" w:type="dxa"/>
            <w:vAlign w:val="center"/>
            <w:hideMark/>
          </w:tcPr>
          <w:p w14:paraId="2A35C77F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tr-TR" w:eastAsia="tr-TR"/>
                <w14:ligatures w14:val="none"/>
              </w:rPr>
              <w:t>p-value</w:t>
            </w:r>
          </w:p>
        </w:tc>
      </w:tr>
      <w:tr w:rsidR="000D7AAC" w:rsidRPr="001D0CB9" w14:paraId="280665EA" w14:textId="77777777" w:rsidTr="00396921">
        <w:tc>
          <w:tcPr>
            <w:tcW w:w="1985" w:type="dxa"/>
            <w:vAlign w:val="center"/>
            <w:hideMark/>
          </w:tcPr>
          <w:p w14:paraId="7F93E40B" w14:textId="77777777" w:rsidR="000D7AAC" w:rsidRPr="001D0CB9" w:rsidRDefault="000D7AAC" w:rsidP="00C50FBD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Lead</w:t>
            </w:r>
          </w:p>
        </w:tc>
        <w:tc>
          <w:tcPr>
            <w:tcW w:w="2473" w:type="dxa"/>
            <w:vAlign w:val="center"/>
            <w:hideMark/>
          </w:tcPr>
          <w:p w14:paraId="67A081FD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ln(FBG)</w:t>
            </w:r>
          </w:p>
        </w:tc>
        <w:tc>
          <w:tcPr>
            <w:tcW w:w="1167" w:type="dxa"/>
            <w:vAlign w:val="center"/>
            <w:hideMark/>
          </w:tcPr>
          <w:p w14:paraId="13A7BAD4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Age, sex</w:t>
            </w:r>
          </w:p>
        </w:tc>
        <w:tc>
          <w:tcPr>
            <w:tcW w:w="2567" w:type="dxa"/>
            <w:vAlign w:val="center"/>
            <w:hideMark/>
          </w:tcPr>
          <w:p w14:paraId="24B70A6B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−0.062 (−0.097 to −0.027)</w:t>
            </w:r>
          </w:p>
        </w:tc>
        <w:tc>
          <w:tcPr>
            <w:tcW w:w="834" w:type="dxa"/>
            <w:vAlign w:val="center"/>
            <w:hideMark/>
          </w:tcPr>
          <w:p w14:paraId="1D177594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&lt;0.001</w:t>
            </w:r>
          </w:p>
        </w:tc>
      </w:tr>
      <w:tr w:rsidR="000D7AAC" w:rsidRPr="001D0CB9" w14:paraId="4573C7DE" w14:textId="77777777" w:rsidTr="00396921">
        <w:tc>
          <w:tcPr>
            <w:tcW w:w="1985" w:type="dxa"/>
            <w:vAlign w:val="center"/>
            <w:hideMark/>
          </w:tcPr>
          <w:p w14:paraId="18808FDC" w14:textId="77777777" w:rsidR="000D7AAC" w:rsidRPr="001D0CB9" w:rsidRDefault="000D7AAC" w:rsidP="00C50FBD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Lead</w:t>
            </w:r>
          </w:p>
        </w:tc>
        <w:tc>
          <w:tcPr>
            <w:tcW w:w="2473" w:type="dxa"/>
            <w:vAlign w:val="center"/>
            <w:hideMark/>
          </w:tcPr>
          <w:p w14:paraId="171BBA33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ln(ALT)</w:t>
            </w:r>
          </w:p>
        </w:tc>
        <w:tc>
          <w:tcPr>
            <w:tcW w:w="1167" w:type="dxa"/>
            <w:vAlign w:val="center"/>
            <w:hideMark/>
          </w:tcPr>
          <w:p w14:paraId="1DC2F0C0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Age, sex</w:t>
            </w:r>
          </w:p>
        </w:tc>
        <w:tc>
          <w:tcPr>
            <w:tcW w:w="2567" w:type="dxa"/>
            <w:vAlign w:val="center"/>
            <w:hideMark/>
          </w:tcPr>
          <w:p w14:paraId="5A9AAE65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−0.192 (−0.265 to −0.119)</w:t>
            </w:r>
          </w:p>
        </w:tc>
        <w:tc>
          <w:tcPr>
            <w:tcW w:w="834" w:type="dxa"/>
            <w:vAlign w:val="center"/>
            <w:hideMark/>
          </w:tcPr>
          <w:p w14:paraId="7B213ED1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&lt;0.001</w:t>
            </w:r>
          </w:p>
        </w:tc>
      </w:tr>
      <w:tr w:rsidR="000D7AAC" w:rsidRPr="001D0CB9" w14:paraId="651897C3" w14:textId="77777777" w:rsidTr="00396921">
        <w:tc>
          <w:tcPr>
            <w:tcW w:w="1985" w:type="dxa"/>
            <w:vAlign w:val="center"/>
            <w:hideMark/>
          </w:tcPr>
          <w:p w14:paraId="05C777E1" w14:textId="77777777" w:rsidR="000D7AAC" w:rsidRPr="001D0CB9" w:rsidRDefault="000D7AAC" w:rsidP="00C50FBD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Lead</w:t>
            </w:r>
          </w:p>
        </w:tc>
        <w:tc>
          <w:tcPr>
            <w:tcW w:w="2473" w:type="dxa"/>
            <w:vAlign w:val="center"/>
            <w:hideMark/>
          </w:tcPr>
          <w:p w14:paraId="504E9940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ln(FIB-4)</w:t>
            </w:r>
          </w:p>
        </w:tc>
        <w:tc>
          <w:tcPr>
            <w:tcW w:w="1167" w:type="dxa"/>
            <w:vAlign w:val="center"/>
            <w:hideMark/>
          </w:tcPr>
          <w:p w14:paraId="725A1406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Sex</w:t>
            </w:r>
          </w:p>
        </w:tc>
        <w:tc>
          <w:tcPr>
            <w:tcW w:w="2567" w:type="dxa"/>
            <w:vAlign w:val="center"/>
            <w:hideMark/>
          </w:tcPr>
          <w:p w14:paraId="04BF19FA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−0.205 (−0.272 to −0.138)</w:t>
            </w:r>
          </w:p>
        </w:tc>
        <w:tc>
          <w:tcPr>
            <w:tcW w:w="834" w:type="dxa"/>
            <w:vAlign w:val="center"/>
            <w:hideMark/>
          </w:tcPr>
          <w:p w14:paraId="32543F99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&lt;0.001</w:t>
            </w:r>
          </w:p>
        </w:tc>
      </w:tr>
      <w:tr w:rsidR="000D7AAC" w:rsidRPr="001D0CB9" w14:paraId="66E6F039" w14:textId="77777777" w:rsidTr="00396921">
        <w:tc>
          <w:tcPr>
            <w:tcW w:w="1985" w:type="dxa"/>
            <w:vAlign w:val="center"/>
            <w:hideMark/>
          </w:tcPr>
          <w:p w14:paraId="7B83031B" w14:textId="77777777" w:rsidR="000D7AAC" w:rsidRPr="001D0CB9" w:rsidRDefault="000D7AAC" w:rsidP="00C50FBD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Lead</w:t>
            </w:r>
          </w:p>
        </w:tc>
        <w:tc>
          <w:tcPr>
            <w:tcW w:w="2473" w:type="dxa"/>
            <w:vAlign w:val="center"/>
            <w:hideMark/>
          </w:tcPr>
          <w:p w14:paraId="6C1B18E5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ln(LDL)</w:t>
            </w:r>
          </w:p>
        </w:tc>
        <w:tc>
          <w:tcPr>
            <w:tcW w:w="1167" w:type="dxa"/>
            <w:vAlign w:val="center"/>
            <w:hideMark/>
          </w:tcPr>
          <w:p w14:paraId="6696ED38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Age, sex</w:t>
            </w:r>
          </w:p>
        </w:tc>
        <w:tc>
          <w:tcPr>
            <w:tcW w:w="2567" w:type="dxa"/>
            <w:vAlign w:val="center"/>
            <w:hideMark/>
          </w:tcPr>
          <w:p w14:paraId="47176A11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−0.073 (−0.124 to −0.023)</w:t>
            </w:r>
          </w:p>
        </w:tc>
        <w:tc>
          <w:tcPr>
            <w:tcW w:w="834" w:type="dxa"/>
            <w:vAlign w:val="center"/>
            <w:hideMark/>
          </w:tcPr>
          <w:p w14:paraId="684CD727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0.005</w:t>
            </w:r>
          </w:p>
        </w:tc>
      </w:tr>
      <w:tr w:rsidR="000D7AAC" w:rsidRPr="001D0CB9" w14:paraId="2D9E49F8" w14:textId="77777777" w:rsidTr="00396921">
        <w:tc>
          <w:tcPr>
            <w:tcW w:w="1985" w:type="dxa"/>
            <w:vAlign w:val="center"/>
            <w:hideMark/>
          </w:tcPr>
          <w:p w14:paraId="449A9A9E" w14:textId="77777777" w:rsidR="000D7AAC" w:rsidRPr="001D0CB9" w:rsidRDefault="000D7AAC" w:rsidP="00C50FBD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Zinc</w:t>
            </w:r>
          </w:p>
        </w:tc>
        <w:tc>
          <w:tcPr>
            <w:tcW w:w="2473" w:type="dxa"/>
            <w:vAlign w:val="center"/>
            <w:hideMark/>
          </w:tcPr>
          <w:p w14:paraId="7A2A660D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ln(ALT)</w:t>
            </w:r>
          </w:p>
        </w:tc>
        <w:tc>
          <w:tcPr>
            <w:tcW w:w="1167" w:type="dxa"/>
            <w:vAlign w:val="center"/>
            <w:hideMark/>
          </w:tcPr>
          <w:p w14:paraId="479A0BF0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Age, sex</w:t>
            </w:r>
          </w:p>
        </w:tc>
        <w:tc>
          <w:tcPr>
            <w:tcW w:w="2567" w:type="dxa"/>
            <w:vAlign w:val="center"/>
            <w:hideMark/>
          </w:tcPr>
          <w:p w14:paraId="7BC8E2E8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0.088 (−0.017 to 0.193)</w:t>
            </w:r>
          </w:p>
        </w:tc>
        <w:tc>
          <w:tcPr>
            <w:tcW w:w="834" w:type="dxa"/>
            <w:vAlign w:val="center"/>
            <w:hideMark/>
          </w:tcPr>
          <w:p w14:paraId="64B5CD9F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0.098</w:t>
            </w:r>
          </w:p>
        </w:tc>
      </w:tr>
      <w:tr w:rsidR="000D7AAC" w:rsidRPr="001D0CB9" w14:paraId="53E63630" w14:textId="77777777" w:rsidTr="00396921">
        <w:tc>
          <w:tcPr>
            <w:tcW w:w="1985" w:type="dxa"/>
            <w:vAlign w:val="center"/>
            <w:hideMark/>
          </w:tcPr>
          <w:p w14:paraId="2C887694" w14:textId="77777777" w:rsidR="000D7AAC" w:rsidRPr="001D0CB9" w:rsidRDefault="000D7AAC" w:rsidP="00C50FBD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Zinc</w:t>
            </w:r>
          </w:p>
        </w:tc>
        <w:tc>
          <w:tcPr>
            <w:tcW w:w="2473" w:type="dxa"/>
            <w:vAlign w:val="center"/>
            <w:hideMark/>
          </w:tcPr>
          <w:p w14:paraId="0A39CA2F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ln(AST)</w:t>
            </w:r>
          </w:p>
        </w:tc>
        <w:tc>
          <w:tcPr>
            <w:tcW w:w="1167" w:type="dxa"/>
            <w:vAlign w:val="center"/>
            <w:hideMark/>
          </w:tcPr>
          <w:p w14:paraId="660E2C50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Age, sex</w:t>
            </w:r>
          </w:p>
        </w:tc>
        <w:tc>
          <w:tcPr>
            <w:tcW w:w="2567" w:type="dxa"/>
            <w:vAlign w:val="center"/>
            <w:hideMark/>
          </w:tcPr>
          <w:p w14:paraId="48C6DE97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0.047 (−0.012 to 0.105)</w:t>
            </w:r>
          </w:p>
        </w:tc>
        <w:tc>
          <w:tcPr>
            <w:tcW w:w="834" w:type="dxa"/>
            <w:vAlign w:val="center"/>
            <w:hideMark/>
          </w:tcPr>
          <w:p w14:paraId="1056256B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0.117</w:t>
            </w:r>
          </w:p>
        </w:tc>
      </w:tr>
      <w:tr w:rsidR="000D7AAC" w:rsidRPr="001D0CB9" w14:paraId="18F3582A" w14:textId="77777777" w:rsidTr="00396921">
        <w:tc>
          <w:tcPr>
            <w:tcW w:w="1985" w:type="dxa"/>
            <w:vAlign w:val="center"/>
            <w:hideMark/>
          </w:tcPr>
          <w:p w14:paraId="41B9B1BE" w14:textId="77777777" w:rsidR="000D7AAC" w:rsidRPr="001D0CB9" w:rsidRDefault="000D7AAC" w:rsidP="00C50FBD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Zinc</w:t>
            </w:r>
          </w:p>
        </w:tc>
        <w:tc>
          <w:tcPr>
            <w:tcW w:w="2473" w:type="dxa"/>
            <w:vAlign w:val="center"/>
            <w:hideMark/>
          </w:tcPr>
          <w:p w14:paraId="0BE4ABDB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ln(TG)</w:t>
            </w:r>
          </w:p>
        </w:tc>
        <w:tc>
          <w:tcPr>
            <w:tcW w:w="1167" w:type="dxa"/>
            <w:vAlign w:val="center"/>
            <w:hideMark/>
          </w:tcPr>
          <w:p w14:paraId="5EA19E43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Age, sex</w:t>
            </w:r>
          </w:p>
        </w:tc>
        <w:tc>
          <w:tcPr>
            <w:tcW w:w="2567" w:type="dxa"/>
            <w:vAlign w:val="center"/>
            <w:hideMark/>
          </w:tcPr>
          <w:p w14:paraId="794168E5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0.208 (0.083 to 0.333)</w:t>
            </w:r>
          </w:p>
        </w:tc>
        <w:tc>
          <w:tcPr>
            <w:tcW w:w="834" w:type="dxa"/>
            <w:vAlign w:val="center"/>
            <w:hideMark/>
          </w:tcPr>
          <w:p w14:paraId="5D62235C" w14:textId="77777777" w:rsidR="000D7AAC" w:rsidRPr="001D0CB9" w:rsidRDefault="000D7AAC" w:rsidP="00C50F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tr-TR" w:eastAsia="tr-TR"/>
                <w14:ligatures w14:val="none"/>
              </w:rPr>
              <w:t>0.001</w:t>
            </w:r>
          </w:p>
        </w:tc>
      </w:tr>
    </w:tbl>
    <w:p w14:paraId="4A8A11A2" w14:textId="396D4846" w:rsidR="000D7AAC" w:rsidRPr="00EF6E57" w:rsidRDefault="000D7AAC" w:rsidP="000D7AA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Continuous variables with skewed distributions were natural log-transformed before regression analyses. Age was not additionally included in the FIB-4 model because age is mathematically incorporated into the FIB-4 equation.</w:t>
      </w:r>
    </w:p>
    <w:p w14:paraId="2DD34D8B" w14:textId="77777777" w:rsidR="000D7AAC" w:rsidRPr="00EF6E57" w:rsidRDefault="000D7AAC" w:rsidP="000D7AA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CI: Confidence interval; FBG: Fasting blood glucose; ALT: Alanine aminotransferase; FIB-4: Fibrosis-4 score, LDL: Low-density lipoprotein; AST: Aspartate aminotransferase; TG: Triglyceride</w:t>
      </w:r>
    </w:p>
    <w:p w14:paraId="11A325AB" w14:textId="77777777" w:rsidR="0005285E" w:rsidRDefault="0005285E"/>
    <w:sectPr w:rsidR="0005285E" w:rsidSect="00B13C80">
      <w:pgSz w:w="12240" w:h="15840"/>
      <w:pgMar w:top="170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DDC"/>
    <w:rsid w:val="00023804"/>
    <w:rsid w:val="00043622"/>
    <w:rsid w:val="0005285E"/>
    <w:rsid w:val="000654EB"/>
    <w:rsid w:val="000903D5"/>
    <w:rsid w:val="000B2B3B"/>
    <w:rsid w:val="000D7AAC"/>
    <w:rsid w:val="000E557F"/>
    <w:rsid w:val="00141E0E"/>
    <w:rsid w:val="0015426B"/>
    <w:rsid w:val="001D5BC3"/>
    <w:rsid w:val="002539F3"/>
    <w:rsid w:val="002C3A44"/>
    <w:rsid w:val="002C5E77"/>
    <w:rsid w:val="00316F91"/>
    <w:rsid w:val="003745C9"/>
    <w:rsid w:val="00375698"/>
    <w:rsid w:val="004C7883"/>
    <w:rsid w:val="00555BE0"/>
    <w:rsid w:val="00567908"/>
    <w:rsid w:val="00575F3A"/>
    <w:rsid w:val="00597B94"/>
    <w:rsid w:val="005B700A"/>
    <w:rsid w:val="005C549A"/>
    <w:rsid w:val="006440D4"/>
    <w:rsid w:val="006C21CB"/>
    <w:rsid w:val="006E0711"/>
    <w:rsid w:val="006E6A24"/>
    <w:rsid w:val="0072249E"/>
    <w:rsid w:val="00790E9C"/>
    <w:rsid w:val="008872E2"/>
    <w:rsid w:val="008A397F"/>
    <w:rsid w:val="008A7727"/>
    <w:rsid w:val="009B405D"/>
    <w:rsid w:val="00A06FBE"/>
    <w:rsid w:val="00A13A84"/>
    <w:rsid w:val="00A60ABE"/>
    <w:rsid w:val="00A62479"/>
    <w:rsid w:val="00A96E2C"/>
    <w:rsid w:val="00AE3046"/>
    <w:rsid w:val="00AE4A2D"/>
    <w:rsid w:val="00AF6D50"/>
    <w:rsid w:val="00B13C80"/>
    <w:rsid w:val="00BA0046"/>
    <w:rsid w:val="00BE1113"/>
    <w:rsid w:val="00C50FBD"/>
    <w:rsid w:val="00C73532"/>
    <w:rsid w:val="00C82180"/>
    <w:rsid w:val="00CD041F"/>
    <w:rsid w:val="00CD62A3"/>
    <w:rsid w:val="00D75A21"/>
    <w:rsid w:val="00DF070E"/>
    <w:rsid w:val="00E05F70"/>
    <w:rsid w:val="00E1735F"/>
    <w:rsid w:val="00E3033F"/>
    <w:rsid w:val="00E31B08"/>
    <w:rsid w:val="00E80DDC"/>
    <w:rsid w:val="00EA4D7A"/>
    <w:rsid w:val="00EC5F08"/>
    <w:rsid w:val="00FA7711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2C686-9B0C-4AD1-8019-BAC7797C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  <w:ind w:firstLine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AAC"/>
    <w:pPr>
      <w:spacing w:line="278" w:lineRule="auto"/>
      <w:ind w:firstLine="0"/>
    </w:pPr>
    <w:rPr>
      <w:kern w:val="2"/>
      <w:sz w:val="24"/>
      <w:szCs w:val="24"/>
      <w:lang w:val="en-US"/>
      <w14:ligatures w14:val="standardContextual"/>
    </w:rPr>
  </w:style>
  <w:style w:type="paragraph" w:styleId="Balk1">
    <w:name w:val="heading 1"/>
    <w:basedOn w:val="Normal"/>
    <w:next w:val="Normal"/>
    <w:link w:val="Balk1Char"/>
    <w:uiPriority w:val="9"/>
    <w:qFormat/>
    <w:rsid w:val="00E80DDC"/>
    <w:pPr>
      <w:keepNext/>
      <w:keepLines/>
      <w:spacing w:before="360" w:after="80" w:line="259" w:lineRule="auto"/>
      <w:ind w:firstLine="284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80DDC"/>
    <w:pPr>
      <w:keepNext/>
      <w:keepLines/>
      <w:spacing w:before="160" w:after="80" w:line="259" w:lineRule="auto"/>
      <w:ind w:firstLine="284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80DDC"/>
    <w:pPr>
      <w:keepNext/>
      <w:keepLines/>
      <w:spacing w:before="160" w:after="80" w:line="259" w:lineRule="auto"/>
      <w:ind w:firstLine="284"/>
      <w:outlineLvl w:val="2"/>
    </w:pPr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80DDC"/>
    <w:pPr>
      <w:keepNext/>
      <w:keepLines/>
      <w:spacing w:before="80" w:after="40" w:line="259" w:lineRule="auto"/>
      <w:ind w:firstLine="284"/>
      <w:outlineLvl w:val="3"/>
    </w:pPr>
    <w:rPr>
      <w:rFonts w:eastAsiaTheme="majorEastAsia" w:cstheme="majorBidi"/>
      <w:i/>
      <w:iCs/>
      <w:color w:val="0F4761" w:themeColor="accent1" w:themeShade="BF"/>
      <w:kern w:val="0"/>
      <w:sz w:val="22"/>
      <w:szCs w:val="22"/>
      <w14:ligatures w14:val="none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80DDC"/>
    <w:pPr>
      <w:keepNext/>
      <w:keepLines/>
      <w:spacing w:before="80" w:after="40" w:line="259" w:lineRule="auto"/>
      <w:ind w:firstLine="284"/>
      <w:outlineLvl w:val="4"/>
    </w:pPr>
    <w:rPr>
      <w:rFonts w:eastAsiaTheme="majorEastAsia" w:cstheme="majorBidi"/>
      <w:color w:val="0F4761" w:themeColor="accent1" w:themeShade="BF"/>
      <w:kern w:val="0"/>
      <w:sz w:val="22"/>
      <w:szCs w:val="22"/>
      <w14:ligatures w14:val="none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80DDC"/>
    <w:pPr>
      <w:keepNext/>
      <w:keepLines/>
      <w:spacing w:before="40" w:after="0" w:line="259" w:lineRule="auto"/>
      <w:ind w:firstLine="284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80DDC"/>
    <w:pPr>
      <w:keepNext/>
      <w:keepLines/>
      <w:spacing w:before="40" w:after="0" w:line="259" w:lineRule="auto"/>
      <w:ind w:firstLine="284"/>
      <w:outlineLvl w:val="6"/>
    </w:pPr>
    <w:rPr>
      <w:rFonts w:eastAsiaTheme="majorEastAsia" w:cstheme="majorBidi"/>
      <w:color w:val="595959" w:themeColor="text1" w:themeTint="A6"/>
      <w:kern w:val="0"/>
      <w:sz w:val="22"/>
      <w:szCs w:val="22"/>
      <w14:ligatures w14:val="none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80DDC"/>
    <w:pPr>
      <w:keepNext/>
      <w:keepLines/>
      <w:spacing w:after="0" w:line="259" w:lineRule="auto"/>
      <w:ind w:firstLine="284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80DDC"/>
    <w:pPr>
      <w:keepNext/>
      <w:keepLines/>
      <w:spacing w:after="0" w:line="259" w:lineRule="auto"/>
      <w:ind w:firstLine="284"/>
      <w:outlineLvl w:val="8"/>
    </w:pPr>
    <w:rPr>
      <w:rFonts w:eastAsiaTheme="majorEastAsia" w:cstheme="majorBidi"/>
      <w:color w:val="272727" w:themeColor="text1" w:themeTint="D8"/>
      <w:kern w:val="0"/>
      <w:sz w:val="22"/>
      <w:szCs w:val="22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80DD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80DD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80DDC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80DDC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80DDC"/>
    <w:rPr>
      <w:rFonts w:eastAsiaTheme="majorEastAsia" w:cstheme="majorBidi"/>
      <w:color w:val="0F4761" w:themeColor="accent1" w:themeShade="BF"/>
      <w:lang w:val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80DDC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80DDC"/>
    <w:rPr>
      <w:rFonts w:eastAsiaTheme="majorEastAsia" w:cstheme="majorBidi"/>
      <w:color w:val="595959" w:themeColor="text1" w:themeTint="A6"/>
      <w:lang w:val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80DDC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80DDC"/>
    <w:rPr>
      <w:rFonts w:eastAsiaTheme="majorEastAsia" w:cstheme="majorBidi"/>
      <w:color w:val="272727" w:themeColor="text1" w:themeTint="D8"/>
      <w:lang w:val="en-US"/>
    </w:rPr>
  </w:style>
  <w:style w:type="paragraph" w:styleId="KonuBal">
    <w:name w:val="Title"/>
    <w:basedOn w:val="Normal"/>
    <w:next w:val="Normal"/>
    <w:link w:val="KonuBalChar"/>
    <w:uiPriority w:val="10"/>
    <w:qFormat/>
    <w:rsid w:val="00E80DDC"/>
    <w:pPr>
      <w:spacing w:after="80" w:line="240" w:lineRule="auto"/>
      <w:ind w:firstLine="284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80DD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E80DDC"/>
    <w:pPr>
      <w:numPr>
        <w:ilvl w:val="1"/>
      </w:numPr>
      <w:spacing w:line="259" w:lineRule="auto"/>
      <w:ind w:firstLine="284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AltyazChar">
    <w:name w:val="Altyazı Char"/>
    <w:basedOn w:val="VarsaylanParagrafYazTipi"/>
    <w:link w:val="Altyaz"/>
    <w:uiPriority w:val="11"/>
    <w:rsid w:val="00E80DDC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Alnt">
    <w:name w:val="Quote"/>
    <w:basedOn w:val="Normal"/>
    <w:next w:val="Normal"/>
    <w:link w:val="AlntChar"/>
    <w:uiPriority w:val="29"/>
    <w:qFormat/>
    <w:rsid w:val="00E80DDC"/>
    <w:pPr>
      <w:spacing w:before="160" w:line="259" w:lineRule="auto"/>
      <w:ind w:firstLine="284"/>
      <w:jc w:val="center"/>
    </w:pPr>
    <w:rPr>
      <w:i/>
      <w:iCs/>
      <w:color w:val="404040" w:themeColor="text1" w:themeTint="BF"/>
      <w:kern w:val="0"/>
      <w:sz w:val="22"/>
      <w:szCs w:val="22"/>
      <w14:ligatures w14:val="none"/>
    </w:rPr>
  </w:style>
  <w:style w:type="character" w:customStyle="1" w:styleId="AlntChar">
    <w:name w:val="Alıntı Char"/>
    <w:basedOn w:val="VarsaylanParagrafYazTipi"/>
    <w:link w:val="Alnt"/>
    <w:uiPriority w:val="29"/>
    <w:rsid w:val="00E80DDC"/>
    <w:rPr>
      <w:i/>
      <w:iCs/>
      <w:color w:val="404040" w:themeColor="text1" w:themeTint="BF"/>
      <w:lang w:val="en-US"/>
    </w:rPr>
  </w:style>
  <w:style w:type="paragraph" w:styleId="ListeParagraf">
    <w:name w:val="List Paragraph"/>
    <w:basedOn w:val="Normal"/>
    <w:uiPriority w:val="34"/>
    <w:qFormat/>
    <w:rsid w:val="00E80DDC"/>
    <w:pPr>
      <w:spacing w:after="0" w:line="259" w:lineRule="auto"/>
      <w:ind w:left="720" w:firstLine="284"/>
      <w:contextualSpacing/>
    </w:pPr>
    <w:rPr>
      <w:kern w:val="0"/>
      <w:sz w:val="22"/>
      <w:szCs w:val="22"/>
      <w14:ligatures w14:val="none"/>
    </w:rPr>
  </w:style>
  <w:style w:type="character" w:styleId="GlVurgulama">
    <w:name w:val="Intense Emphasis"/>
    <w:basedOn w:val="VarsaylanParagrafYazTipi"/>
    <w:uiPriority w:val="21"/>
    <w:qFormat/>
    <w:rsid w:val="00E80DDC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80D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284"/>
      <w:jc w:val="center"/>
    </w:pPr>
    <w:rPr>
      <w:i/>
      <w:iCs/>
      <w:color w:val="0F4761" w:themeColor="accent1" w:themeShade="BF"/>
      <w:kern w:val="0"/>
      <w:sz w:val="22"/>
      <w:szCs w:val="22"/>
      <w14:ligatures w14:val="none"/>
    </w:rPr>
  </w:style>
  <w:style w:type="character" w:customStyle="1" w:styleId="GlAlntChar">
    <w:name w:val="Güçlü Alıntı Char"/>
    <w:basedOn w:val="VarsaylanParagrafYazTipi"/>
    <w:link w:val="GlAlnt"/>
    <w:uiPriority w:val="30"/>
    <w:rsid w:val="00E80DDC"/>
    <w:rPr>
      <w:i/>
      <w:iCs/>
      <w:color w:val="0F4761" w:themeColor="accent1" w:themeShade="BF"/>
      <w:lang w:val="en-US"/>
    </w:rPr>
  </w:style>
  <w:style w:type="character" w:styleId="GlBavuru">
    <w:name w:val="Intense Reference"/>
    <w:basedOn w:val="VarsaylanParagrafYazTipi"/>
    <w:uiPriority w:val="32"/>
    <w:qFormat/>
    <w:rsid w:val="00E80D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hamit goksu</dc:creator>
  <cp:keywords/>
  <dc:description/>
  <cp:lastModifiedBy>hamit goksu</cp:lastModifiedBy>
  <cp:revision>6</cp:revision>
  <dcterms:created xsi:type="dcterms:W3CDTF">2026-05-24T00:22:00Z</dcterms:created>
  <dcterms:modified xsi:type="dcterms:W3CDTF">2026-05-24T14:39:00Z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fd195add-f425-4319-9769-06ac61c740d4</vt:lpwstr>
  </property>
</Properties>
</file>