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D2E52" w14:textId="7B93A2C0" w:rsidR="005D27AB" w:rsidRPr="003D5F08" w:rsidRDefault="003D5F08" w:rsidP="00D17841">
      <w:pPr>
        <w:jc w:val="both"/>
        <w:rPr>
          <w:u w:val="single"/>
        </w:rPr>
      </w:pPr>
      <w:r w:rsidRPr="003D5F08">
        <w:rPr>
          <w:u w:val="single"/>
        </w:rPr>
        <w:t>Supplementary Methods</w:t>
      </w:r>
    </w:p>
    <w:p w14:paraId="28F2F771" w14:textId="713BA430" w:rsidR="003D5F08" w:rsidRDefault="003D5F08" w:rsidP="00D17841">
      <w:pPr>
        <w:jc w:val="both"/>
        <w:rPr>
          <w:rFonts w:cstheme="minorHAnsi"/>
        </w:rPr>
      </w:pPr>
      <w:r w:rsidRPr="00EB7416">
        <w:rPr>
          <w:u w:val="single"/>
        </w:rPr>
        <w:t>Propensity Score Generation and Outcomes Analysis</w:t>
      </w:r>
      <w:r>
        <w:t xml:space="preserve">: To help mitigate potential biases introduced due to a lack of randomization in this study between treatment groups, propensity scores and corresponding inverse probability weighting was used on identified key covariates of interest. Specifically, logistic regression models were used to generate propensity scores based on covariates that were consistently collected and available from each of the participating institutions in this multi-institution and international analysis cohort. These covariates included: </w:t>
      </w:r>
      <w:r w:rsidRPr="00484119">
        <w:rPr>
          <w:rFonts w:cstheme="minorHAnsi"/>
        </w:rPr>
        <w:t>age</w:t>
      </w:r>
      <w:r>
        <w:rPr>
          <w:rFonts w:cstheme="minorHAnsi"/>
        </w:rPr>
        <w:t xml:space="preserve"> at time of relapse</w:t>
      </w:r>
      <w:r w:rsidRPr="00484119">
        <w:rPr>
          <w:rFonts w:cstheme="minorHAnsi"/>
        </w:rPr>
        <w:t>, time to relapse, presence of extranodal disease</w:t>
      </w:r>
      <w:r>
        <w:rPr>
          <w:rFonts w:cstheme="minorHAnsi"/>
        </w:rPr>
        <w:t xml:space="preserve"> (yes vs. no)</w:t>
      </w:r>
      <w:r w:rsidRPr="00484119">
        <w:rPr>
          <w:rFonts w:cstheme="minorHAnsi"/>
        </w:rPr>
        <w:t xml:space="preserve">, </w:t>
      </w:r>
      <w:r w:rsidR="0012265B">
        <w:rPr>
          <w:rFonts w:cstheme="minorHAnsi"/>
        </w:rPr>
        <w:t xml:space="preserve">and </w:t>
      </w:r>
      <w:r w:rsidRPr="00484119">
        <w:rPr>
          <w:rFonts w:cstheme="minorHAnsi"/>
        </w:rPr>
        <w:t xml:space="preserve">number of </w:t>
      </w:r>
      <w:r>
        <w:rPr>
          <w:rFonts w:cstheme="minorHAnsi"/>
        </w:rPr>
        <w:t>salvage</w:t>
      </w:r>
      <w:r w:rsidRPr="00484119">
        <w:rPr>
          <w:rFonts w:cstheme="minorHAnsi"/>
        </w:rPr>
        <w:t xml:space="preserve"> therap</w:t>
      </w:r>
      <w:r>
        <w:rPr>
          <w:rFonts w:cstheme="minorHAnsi"/>
        </w:rPr>
        <w:t xml:space="preserve">ies (2 or more vs. less than 2). These were factors that were deemed to be potential confounders </w:t>
      </w:r>
      <w:r w:rsidR="0012265B">
        <w:rPr>
          <w:rFonts w:cstheme="minorHAnsi"/>
        </w:rPr>
        <w:t xml:space="preserve">for PFS </w:t>
      </w:r>
      <w:r>
        <w:rPr>
          <w:rFonts w:cstheme="minorHAnsi"/>
        </w:rPr>
        <w:t xml:space="preserve">and were available through the data sets that were provided across institutions. </w:t>
      </w:r>
      <w:r w:rsidR="003D0C21">
        <w:rPr>
          <w:rFonts w:cstheme="minorHAnsi"/>
        </w:rPr>
        <w:t xml:space="preserve">The specific code used to generate the propensity scores in SAS is provided below: </w:t>
      </w:r>
    </w:p>
    <w:p w14:paraId="64CBFF1D" w14:textId="77777777" w:rsidR="003D0C21" w:rsidRPr="00C522FB" w:rsidRDefault="003D0C21" w:rsidP="00D17841">
      <w:pPr>
        <w:spacing w:after="0" w:line="240" w:lineRule="auto"/>
        <w:ind w:left="540"/>
        <w:rPr>
          <w:rFonts w:ascii="Calibri" w:eastAsia="Times New Roman" w:hAnsi="Calibri" w:cs="Calibri"/>
          <w:color w:val="FA0000"/>
          <w:kern w:val="0"/>
          <w14:ligatures w14:val="none"/>
        </w:rPr>
      </w:pPr>
      <w:r w:rsidRPr="00C522FB">
        <w:rPr>
          <w:rFonts w:ascii="Calibri" w:eastAsia="Times New Roman" w:hAnsi="Calibri" w:cs="Calibri"/>
          <w:color w:val="FA0000"/>
          <w:kern w:val="0"/>
          <w14:ligatures w14:val="none"/>
        </w:rPr>
        <w:t>title "Modeling Propensity Score";</w:t>
      </w:r>
    </w:p>
    <w:p w14:paraId="0106F320" w14:textId="77777777" w:rsidR="003D0C21" w:rsidRPr="00C522FB" w:rsidRDefault="003D0C21" w:rsidP="00D17841">
      <w:pPr>
        <w:spacing w:after="0" w:line="240" w:lineRule="auto"/>
        <w:ind w:left="540"/>
        <w:rPr>
          <w:rFonts w:ascii="Calibri" w:eastAsia="Times New Roman" w:hAnsi="Calibri" w:cs="Calibri"/>
          <w:color w:val="FA0000"/>
          <w:kern w:val="0"/>
          <w14:ligatures w14:val="none"/>
        </w:rPr>
      </w:pPr>
      <w:r w:rsidRPr="00C522FB">
        <w:rPr>
          <w:rFonts w:ascii="Calibri" w:eastAsia="Times New Roman" w:hAnsi="Calibri" w:cs="Calibri"/>
          <w:color w:val="FA0000"/>
          <w:kern w:val="0"/>
          <w14:ligatures w14:val="none"/>
        </w:rPr>
        <w:t>proc logistic data=master;</w:t>
      </w:r>
    </w:p>
    <w:p w14:paraId="02A9C235" w14:textId="62D17CA8" w:rsidR="003D0C21" w:rsidRPr="00C522FB" w:rsidRDefault="003D0C21" w:rsidP="00D17841">
      <w:pPr>
        <w:spacing w:after="0" w:line="240" w:lineRule="auto"/>
        <w:ind w:left="540"/>
        <w:rPr>
          <w:rFonts w:ascii="Calibri" w:eastAsia="Times New Roman" w:hAnsi="Calibri" w:cs="Calibri"/>
          <w:color w:val="FA0000"/>
          <w:kern w:val="0"/>
          <w14:ligatures w14:val="none"/>
        </w:rPr>
      </w:pPr>
      <w:r w:rsidRPr="00C522FB">
        <w:rPr>
          <w:rFonts w:ascii="Calibri" w:eastAsia="Times New Roman" w:hAnsi="Calibri" w:cs="Calibri"/>
          <w:color w:val="FA0000"/>
          <w:kern w:val="0"/>
          <w14:ligatures w14:val="none"/>
        </w:rPr>
        <w:t xml:space="preserve">    class ex_nod_ind(ref="Yes") therapies_ind(ref="&lt;2");</w:t>
      </w:r>
    </w:p>
    <w:p w14:paraId="458C2BD8" w14:textId="60EC4936" w:rsidR="003D0C21" w:rsidRPr="00C522FB" w:rsidRDefault="003D0C21" w:rsidP="00D17841">
      <w:pPr>
        <w:spacing w:after="0" w:line="240" w:lineRule="auto"/>
        <w:ind w:left="540"/>
        <w:rPr>
          <w:rFonts w:ascii="Calibri" w:eastAsia="Times New Roman" w:hAnsi="Calibri" w:cs="Calibri"/>
          <w:color w:val="FA0000"/>
          <w:kern w:val="0"/>
          <w14:ligatures w14:val="none"/>
        </w:rPr>
      </w:pPr>
      <w:r w:rsidRPr="00C522FB">
        <w:rPr>
          <w:rFonts w:ascii="Calibri" w:eastAsia="Times New Roman" w:hAnsi="Calibri" w:cs="Calibri"/>
          <w:color w:val="FA0000"/>
          <w:kern w:val="0"/>
          <w14:ligatures w14:val="none"/>
        </w:rPr>
        <w:t xml:space="preserve">    model bv_m (event="Maintenance</w:t>
      </w:r>
      <w:r w:rsidR="00082E08" w:rsidRPr="00C522FB">
        <w:rPr>
          <w:rFonts w:ascii="Calibri" w:eastAsia="Times New Roman" w:hAnsi="Calibri" w:cs="Calibri"/>
          <w:color w:val="FA0000"/>
          <w:kern w:val="0"/>
          <w14:ligatures w14:val="none"/>
        </w:rPr>
        <w:t>”) =</w:t>
      </w:r>
      <w:r w:rsidRPr="00C522FB">
        <w:rPr>
          <w:rFonts w:ascii="Calibri" w:eastAsia="Times New Roman" w:hAnsi="Calibri" w:cs="Calibri"/>
          <w:color w:val="FA0000"/>
          <w:kern w:val="0"/>
          <w14:ligatures w14:val="none"/>
        </w:rPr>
        <w:t xml:space="preserve"> age_relapse ex_nod_ind therapies_ind</w:t>
      </w:r>
    </w:p>
    <w:p w14:paraId="2D7AD279" w14:textId="2A18B7AC" w:rsidR="003D0C21" w:rsidRPr="00C522FB" w:rsidRDefault="003D0C21" w:rsidP="00D17841">
      <w:pPr>
        <w:spacing w:after="0" w:line="240" w:lineRule="auto"/>
        <w:ind w:left="540"/>
        <w:rPr>
          <w:rFonts w:ascii="Calibri" w:eastAsia="Times New Roman" w:hAnsi="Calibri" w:cs="Calibri"/>
          <w:color w:val="FA0000"/>
          <w:kern w:val="0"/>
          <w14:ligatures w14:val="none"/>
        </w:rPr>
      </w:pPr>
      <w:r w:rsidRPr="00C522FB">
        <w:rPr>
          <w:rFonts w:ascii="Calibri" w:eastAsia="Times New Roman" w:hAnsi="Calibri" w:cs="Calibri"/>
          <w:color w:val="FA0000"/>
          <w:kern w:val="0"/>
          <w14:ligatures w14:val="none"/>
        </w:rPr>
        <w:t xml:space="preserve">        time_to_relapse;</w:t>
      </w:r>
    </w:p>
    <w:p w14:paraId="5BE944BF" w14:textId="77777777" w:rsidR="003D0C21" w:rsidRPr="00C522FB" w:rsidRDefault="003D0C21" w:rsidP="00D17841">
      <w:pPr>
        <w:spacing w:after="0" w:line="240" w:lineRule="auto"/>
        <w:ind w:left="540"/>
        <w:rPr>
          <w:rFonts w:ascii="Calibri" w:eastAsia="Times New Roman" w:hAnsi="Calibri" w:cs="Calibri"/>
          <w:color w:val="FA0000"/>
          <w:kern w:val="0"/>
          <w14:ligatures w14:val="none"/>
        </w:rPr>
      </w:pPr>
      <w:r w:rsidRPr="00C522FB">
        <w:rPr>
          <w:rFonts w:ascii="Calibri" w:eastAsia="Times New Roman" w:hAnsi="Calibri" w:cs="Calibri"/>
          <w:color w:val="FA0000"/>
          <w:kern w:val="0"/>
          <w14:ligatures w14:val="none"/>
        </w:rPr>
        <w:t xml:space="preserve">    output out=master2 pred=propensity;</w:t>
      </w:r>
    </w:p>
    <w:p w14:paraId="1EFF3698" w14:textId="77777777" w:rsidR="003D0C21" w:rsidRPr="00C522FB" w:rsidRDefault="003D0C21" w:rsidP="00D17841">
      <w:pPr>
        <w:spacing w:after="0" w:line="240" w:lineRule="auto"/>
        <w:ind w:left="540"/>
        <w:rPr>
          <w:rFonts w:ascii="Calibri" w:eastAsia="Times New Roman" w:hAnsi="Calibri" w:cs="Calibri"/>
          <w:color w:val="FA0000"/>
          <w:kern w:val="0"/>
          <w14:ligatures w14:val="none"/>
        </w:rPr>
      </w:pPr>
      <w:r w:rsidRPr="00C522FB">
        <w:rPr>
          <w:rFonts w:ascii="Calibri" w:eastAsia="Times New Roman" w:hAnsi="Calibri" w:cs="Calibri"/>
          <w:color w:val="FA0000"/>
          <w:kern w:val="0"/>
          <w14:ligatures w14:val="none"/>
        </w:rPr>
        <w:t>run;</w:t>
      </w:r>
    </w:p>
    <w:p w14:paraId="3FDE2B94" w14:textId="77777777" w:rsidR="003D0C21" w:rsidRPr="00C522FB" w:rsidRDefault="003D0C21" w:rsidP="00D17841">
      <w:pPr>
        <w:spacing w:after="0" w:line="240" w:lineRule="auto"/>
        <w:ind w:left="540"/>
        <w:jc w:val="both"/>
        <w:rPr>
          <w:rFonts w:ascii="Calibri" w:eastAsia="Times New Roman" w:hAnsi="Calibri" w:cs="Calibri"/>
          <w:color w:val="FA0000"/>
          <w:kern w:val="0"/>
          <w14:ligatures w14:val="none"/>
        </w:rPr>
      </w:pPr>
      <w:r w:rsidRPr="00C522FB">
        <w:rPr>
          <w:rFonts w:ascii="Calibri" w:eastAsia="Times New Roman" w:hAnsi="Calibri" w:cs="Calibri"/>
          <w:color w:val="FA0000"/>
          <w:kern w:val="0"/>
          <w14:ligatures w14:val="none"/>
        </w:rPr>
        <w:t> </w:t>
      </w:r>
    </w:p>
    <w:p w14:paraId="1CE2B16D" w14:textId="77777777" w:rsidR="003D0C21" w:rsidRPr="00C522FB" w:rsidRDefault="003D0C21" w:rsidP="00D17841">
      <w:pPr>
        <w:spacing w:after="0" w:line="240" w:lineRule="auto"/>
        <w:ind w:left="540"/>
        <w:jc w:val="both"/>
        <w:rPr>
          <w:rFonts w:ascii="Calibri" w:eastAsia="Times New Roman" w:hAnsi="Calibri" w:cs="Calibri"/>
          <w:color w:val="FA0000"/>
          <w:kern w:val="0"/>
          <w14:ligatures w14:val="none"/>
        </w:rPr>
      </w:pPr>
      <w:r w:rsidRPr="00C522FB">
        <w:rPr>
          <w:rFonts w:ascii="Calibri" w:eastAsia="Times New Roman" w:hAnsi="Calibri" w:cs="Calibri"/>
          <w:color w:val="FA0000"/>
          <w:kern w:val="0"/>
          <w14:ligatures w14:val="none"/>
        </w:rPr>
        <w:t> </w:t>
      </w:r>
    </w:p>
    <w:p w14:paraId="0C88525A" w14:textId="62B028F7" w:rsidR="003D0C21" w:rsidRDefault="003D0C21" w:rsidP="00D17841">
      <w:pPr>
        <w:jc w:val="both"/>
        <w:rPr>
          <w:rFonts w:cstheme="minorHAnsi"/>
        </w:rPr>
      </w:pPr>
      <w:r>
        <w:rPr>
          <w:rFonts w:cstheme="minorHAnsi"/>
        </w:rPr>
        <w:t xml:space="preserve">where </w:t>
      </w:r>
      <w:r w:rsidR="00827631">
        <w:rPr>
          <w:rFonts w:cstheme="minorHAnsi"/>
        </w:rPr>
        <w:t xml:space="preserve">bv_m is an indicator variable for having received BV maintenance, </w:t>
      </w:r>
      <w:r>
        <w:rPr>
          <w:rFonts w:cstheme="minorHAnsi"/>
        </w:rPr>
        <w:t>ex_nod_ind is whether or not patients had extra nodal involvement,</w:t>
      </w:r>
      <w:r w:rsidR="00022521">
        <w:rPr>
          <w:rFonts w:cstheme="minorHAnsi"/>
        </w:rPr>
        <w:t xml:space="preserve"> and</w:t>
      </w:r>
      <w:r>
        <w:rPr>
          <w:rFonts w:cstheme="minorHAnsi"/>
        </w:rPr>
        <w:t xml:space="preserve"> therapies_ind is an indicator of whether or not patients had 2 or more therapies. Further, the age_relapse variable is a continuous measure of the age of the patient at the time of relapse (in years), and time_to_relapse is the time from initiation of therapy to when they relapsed (in </w:t>
      </w:r>
      <w:r w:rsidR="007077D7">
        <w:rPr>
          <w:rFonts w:cstheme="minorHAnsi"/>
        </w:rPr>
        <w:t>months</w:t>
      </w:r>
      <w:r>
        <w:rPr>
          <w:rFonts w:cstheme="minorHAnsi"/>
        </w:rPr>
        <w:t xml:space="preserve">). </w:t>
      </w:r>
    </w:p>
    <w:p w14:paraId="6D6FB288" w14:textId="6559220F" w:rsidR="007077D7" w:rsidRDefault="003D0C21" w:rsidP="00D17841">
      <w:pPr>
        <w:jc w:val="both"/>
        <w:rPr>
          <w:rFonts w:cstheme="minorHAnsi"/>
        </w:rPr>
      </w:pPr>
      <w:r>
        <w:rPr>
          <w:rFonts w:cstheme="minorHAnsi"/>
        </w:rPr>
        <w:t>To calculate the propensity scores corresponding to each patient</w:t>
      </w:r>
      <w:r w:rsidR="003D5F08">
        <w:rPr>
          <w:rFonts w:cstheme="minorHAnsi"/>
        </w:rPr>
        <w:t>, we calculated predicted values from the multivariable logistic regression model that included the covariates listed above in relation to whether or not patients had BV maintenance as the dependent variable in this model. Generation of propensity scores were done using the SAS statistical program, following standard methods outlined by Leslie and Thiebaud</w:t>
      </w:r>
      <w:r w:rsidR="003D5F08" w:rsidRPr="00596771">
        <w:rPr>
          <w:rFonts w:cstheme="minorHAnsi"/>
          <w:vertAlign w:val="superscript"/>
        </w:rPr>
        <w:t>1</w:t>
      </w:r>
      <w:r w:rsidR="003D5F08">
        <w:rPr>
          <w:rFonts w:cstheme="minorHAnsi"/>
          <w:vertAlign w:val="superscript"/>
        </w:rPr>
        <w:t>,2</w:t>
      </w:r>
      <w:r w:rsidR="003D5F08">
        <w:rPr>
          <w:rFonts w:cstheme="minorHAnsi"/>
        </w:rPr>
        <w:t xml:space="preserve"> as well as a breadth of established work in this area. For the inverse probability </w:t>
      </w:r>
      <w:r w:rsidR="00B64913">
        <w:rPr>
          <w:rFonts w:cstheme="minorHAnsi"/>
        </w:rPr>
        <w:t xml:space="preserve">treatment </w:t>
      </w:r>
      <w:r w:rsidR="003D5F08">
        <w:rPr>
          <w:rFonts w:cstheme="minorHAnsi"/>
        </w:rPr>
        <w:t>weights</w:t>
      </w:r>
      <w:r w:rsidR="00B64913">
        <w:rPr>
          <w:rFonts w:cstheme="minorHAnsi"/>
        </w:rPr>
        <w:t xml:space="preserve"> (IPTWs)</w:t>
      </w:r>
      <w:r w:rsidR="003D5F08">
        <w:rPr>
          <w:rFonts w:cstheme="minorHAnsi"/>
        </w:rPr>
        <w:t xml:space="preserve">, we used the </w:t>
      </w:r>
      <w:r w:rsidR="007077D7">
        <w:rPr>
          <w:rFonts w:cstheme="minorHAnsi"/>
        </w:rPr>
        <w:t xml:space="preserve">following code: </w:t>
      </w:r>
    </w:p>
    <w:p w14:paraId="6EAFD4E9" w14:textId="7C0B9056" w:rsidR="00B64913" w:rsidRDefault="00DD54DA" w:rsidP="00D17841">
      <w:pPr>
        <w:spacing w:after="0" w:line="240" w:lineRule="auto"/>
        <w:ind w:left="540"/>
        <w:rPr>
          <w:rFonts w:ascii="Calibri" w:eastAsia="Times New Roman" w:hAnsi="Calibri" w:cs="Calibri"/>
          <w:color w:val="FA0000"/>
          <w:kern w:val="0"/>
          <w14:ligatures w14:val="none"/>
        </w:rPr>
      </w:pPr>
      <w:r w:rsidRPr="00DD54DA">
        <w:rPr>
          <w:rFonts w:ascii="Calibri" w:eastAsia="Times New Roman" w:hAnsi="Calibri" w:cs="Calibri"/>
          <w:color w:val="FA0000"/>
          <w:kern w:val="0"/>
          <w14:ligatures w14:val="none"/>
        </w:rPr>
        <w:t>if bv_m=1 then stweight=1/p</w:t>
      </w:r>
      <w:r>
        <w:rPr>
          <w:rFonts w:ascii="Calibri" w:eastAsia="Times New Roman" w:hAnsi="Calibri" w:cs="Calibri"/>
          <w:color w:val="FA0000"/>
          <w:kern w:val="0"/>
          <w14:ligatures w14:val="none"/>
        </w:rPr>
        <w:t>ropensity</w:t>
      </w:r>
      <w:r w:rsidRPr="00DD54DA">
        <w:rPr>
          <w:rFonts w:ascii="Calibri" w:eastAsia="Times New Roman" w:hAnsi="Calibri" w:cs="Calibri"/>
          <w:color w:val="FA0000"/>
          <w:kern w:val="0"/>
          <w14:ligatures w14:val="none"/>
        </w:rPr>
        <w:t>;</w:t>
      </w:r>
      <w:r w:rsidRPr="00DD54DA">
        <w:rPr>
          <w:rFonts w:ascii="Calibri" w:eastAsia="Times New Roman" w:hAnsi="Calibri" w:cs="Calibri"/>
          <w:color w:val="FA0000"/>
          <w:kern w:val="0"/>
          <w14:ligatures w14:val="none"/>
        </w:rPr>
        <w:br/>
        <w:t>    else if bv_m=0 then stweight=1/(1-p</w:t>
      </w:r>
      <w:r>
        <w:rPr>
          <w:rFonts w:ascii="Calibri" w:eastAsia="Times New Roman" w:hAnsi="Calibri" w:cs="Calibri"/>
          <w:color w:val="FA0000"/>
          <w:kern w:val="0"/>
          <w14:ligatures w14:val="none"/>
        </w:rPr>
        <w:t>ropensity</w:t>
      </w:r>
      <w:r w:rsidRPr="00DD54DA">
        <w:rPr>
          <w:rFonts w:ascii="Calibri" w:eastAsia="Times New Roman" w:hAnsi="Calibri" w:cs="Calibri"/>
          <w:color w:val="FA0000"/>
          <w:kern w:val="0"/>
          <w14:ligatures w14:val="none"/>
        </w:rPr>
        <w:t>);</w:t>
      </w:r>
    </w:p>
    <w:p w14:paraId="47B39664" w14:textId="77777777" w:rsidR="00DD54DA" w:rsidRPr="00DD54DA" w:rsidRDefault="00DD54DA" w:rsidP="00D17841">
      <w:pPr>
        <w:spacing w:after="0" w:line="240" w:lineRule="auto"/>
        <w:ind w:left="540"/>
        <w:jc w:val="both"/>
        <w:rPr>
          <w:rFonts w:ascii="Calibri" w:eastAsia="Times New Roman" w:hAnsi="Calibri" w:cs="Calibri"/>
          <w:color w:val="FA0000"/>
          <w:kern w:val="0"/>
          <w14:ligatures w14:val="none"/>
        </w:rPr>
      </w:pPr>
    </w:p>
    <w:p w14:paraId="10B2BEDF" w14:textId="3DC2536D" w:rsidR="003D5F08" w:rsidRDefault="00B64913" w:rsidP="00D17841">
      <w:pPr>
        <w:jc w:val="both"/>
      </w:pPr>
      <w:r>
        <w:rPr>
          <w:rFonts w:cstheme="minorHAnsi"/>
        </w:rPr>
        <w:t xml:space="preserve">These IPTW were then </w:t>
      </w:r>
      <w:r w:rsidR="003D5F08">
        <w:rPr>
          <w:rFonts w:cstheme="minorHAnsi"/>
        </w:rPr>
        <w:t>incorporated</w:t>
      </w:r>
      <w:r w:rsidR="00D9312D">
        <w:rPr>
          <w:rFonts w:cstheme="minorHAnsi"/>
        </w:rPr>
        <w:t>, with normalized</w:t>
      </w:r>
      <w:r w:rsidR="003D5F08">
        <w:rPr>
          <w:rFonts w:cstheme="minorHAnsi"/>
        </w:rPr>
        <w:t xml:space="preserve"> weights</w:t>
      </w:r>
      <w:r w:rsidR="00D9312D">
        <w:rPr>
          <w:rFonts w:cstheme="minorHAnsi"/>
        </w:rPr>
        <w:t xml:space="preserve"> included</w:t>
      </w:r>
      <w:r w:rsidR="003D5F08">
        <w:rPr>
          <w:rFonts w:cstheme="minorHAnsi"/>
        </w:rPr>
        <w:t xml:space="preserve"> in the Cox regression models used to evaluate differences in the time to event outcomes (e.g. PFS) between groups.</w:t>
      </w:r>
      <w:r w:rsidR="003D0C21">
        <w:rPr>
          <w:rFonts w:cstheme="minorHAnsi"/>
        </w:rPr>
        <w:t xml:space="preserve"> Additional analyses to evaluate homogeneity and distribution of the resulting propensity scores and their weights were done using the statistical programs SAS as well as R (version 4.2.2). </w:t>
      </w:r>
    </w:p>
    <w:p w14:paraId="31885D78" w14:textId="77777777" w:rsidR="003D5F08" w:rsidRDefault="003D5F08" w:rsidP="00D17841">
      <w:pPr>
        <w:jc w:val="both"/>
      </w:pPr>
    </w:p>
    <w:p w14:paraId="39EC5CC5" w14:textId="6DED5DD3" w:rsidR="001D700A" w:rsidRPr="00827631" w:rsidRDefault="00D2706C" w:rsidP="00D17841">
      <w:pPr>
        <w:jc w:val="both"/>
        <w:rPr>
          <w:u w:val="single"/>
        </w:rPr>
      </w:pPr>
      <w:r>
        <w:rPr>
          <w:u w:val="single"/>
        </w:rPr>
        <w:lastRenderedPageBreak/>
        <w:t>Evaluation of</w:t>
      </w:r>
      <w:r w:rsidR="00B63294" w:rsidRPr="00827631">
        <w:rPr>
          <w:u w:val="single"/>
        </w:rPr>
        <w:t xml:space="preserve"> </w:t>
      </w:r>
      <w:r w:rsidR="00CB4161">
        <w:rPr>
          <w:u w:val="single"/>
        </w:rPr>
        <w:t xml:space="preserve">Bias Mitigation </w:t>
      </w:r>
      <w:r>
        <w:rPr>
          <w:u w:val="single"/>
        </w:rPr>
        <w:t xml:space="preserve">and Distribution </w:t>
      </w:r>
      <w:r w:rsidR="001D700A" w:rsidRPr="00827631">
        <w:rPr>
          <w:u w:val="single"/>
        </w:rPr>
        <w:t xml:space="preserve">of </w:t>
      </w:r>
      <w:r w:rsidR="00B63294" w:rsidRPr="00827631">
        <w:rPr>
          <w:u w:val="single"/>
        </w:rPr>
        <w:t xml:space="preserve">Propensity Scores </w:t>
      </w:r>
    </w:p>
    <w:p w14:paraId="06452910" w14:textId="127FD722" w:rsidR="00B63294" w:rsidRDefault="00F20A9E" w:rsidP="00D17841">
      <w:pPr>
        <w:jc w:val="both"/>
      </w:pPr>
      <w:r>
        <w:rPr>
          <w:noProof/>
        </w:rPr>
        <w:drawing>
          <wp:anchor distT="0" distB="0" distL="114300" distR="114300" simplePos="0" relativeHeight="251658240" behindDoc="0" locked="0" layoutInCell="1" allowOverlap="1" wp14:anchorId="031CE74C" wp14:editId="0C1A4B7F">
            <wp:simplePos x="0" y="0"/>
            <wp:positionH relativeFrom="column">
              <wp:posOffset>771525</wp:posOffset>
            </wp:positionH>
            <wp:positionV relativeFrom="paragraph">
              <wp:posOffset>1305560</wp:posOffset>
            </wp:positionV>
            <wp:extent cx="3114675" cy="3704590"/>
            <wp:effectExtent l="0" t="0" r="9525" b="0"/>
            <wp:wrapTopAndBottom/>
            <wp:docPr id="428180975" name="Picture 1" descr="A comparison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180975" name="Picture 1" descr="A comparison of a graph&#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3114675" cy="3704590"/>
                    </a:xfrm>
                    <a:prstGeom prst="rect">
                      <a:avLst/>
                    </a:prstGeom>
                  </pic:spPr>
                </pic:pic>
              </a:graphicData>
            </a:graphic>
            <wp14:sizeRelH relativeFrom="margin">
              <wp14:pctWidth>0</wp14:pctWidth>
            </wp14:sizeRelH>
            <wp14:sizeRelV relativeFrom="margin">
              <wp14:pctHeight>0</wp14:pctHeight>
            </wp14:sizeRelV>
          </wp:anchor>
        </w:drawing>
      </w:r>
      <w:r w:rsidR="00B7035A">
        <w:t xml:space="preserve">To evaluate </w:t>
      </w:r>
      <w:r w:rsidR="00EA3761">
        <w:t>and assess balance in propensity scores, we evaluated the distributions of propensity scores in those who did vs. did not receive BV maintenance treatment vs. those who did not</w:t>
      </w:r>
      <w:r w:rsidR="00662390">
        <w:t xml:space="preserve">. </w:t>
      </w:r>
      <w:r w:rsidR="004E363F">
        <w:t>T</w:t>
      </w:r>
      <w:r w:rsidR="005333EC">
        <w:t xml:space="preserve">he distribution of the propensity scores were very similar. </w:t>
      </w:r>
      <w:r w:rsidR="00B80E81">
        <w:t xml:space="preserve">However, we did recognize </w:t>
      </w:r>
      <w:r w:rsidR="006F2C85">
        <w:t xml:space="preserve">a set of patients who had outlying propensity score values. </w:t>
      </w:r>
      <w:r w:rsidR="00030213">
        <w:t xml:space="preserve">To avoid </w:t>
      </w:r>
      <w:r w:rsidR="003241C2">
        <w:t xml:space="preserve">issues that outliers in this setting could introduce, we Winsorized the propensity score values at 0.175, where those with a calculated propensity score &lt;0.175 were given a score of 0.175. This affected 23 of the 733 patients in our analysis data set. </w:t>
      </w:r>
    </w:p>
    <w:p w14:paraId="43D283F4" w14:textId="5F209011" w:rsidR="005333EC" w:rsidRPr="00A70CF6" w:rsidRDefault="002A51D0" w:rsidP="00D17841">
      <w:pPr>
        <w:jc w:val="both"/>
        <w:rPr>
          <w:u w:val="single"/>
        </w:rPr>
      </w:pPr>
      <w:r w:rsidRPr="00A70CF6">
        <w:rPr>
          <w:u w:val="single"/>
        </w:rPr>
        <w:t>Evaluation of Homogeneity of Treatment Effect</w:t>
      </w:r>
    </w:p>
    <w:p w14:paraId="74C4C6D5" w14:textId="57CE5FAA" w:rsidR="00A70CF6" w:rsidRDefault="00211400" w:rsidP="00D17841">
      <w:pPr>
        <w:jc w:val="both"/>
      </w:pPr>
      <w:r>
        <w:t>To evaluate the homogeneity of treatment effect on the outcomes of interest</w:t>
      </w:r>
      <w:r w:rsidR="001009D8">
        <w:t xml:space="preserve">, we evaluated Cox regression models for PFS to assess influence of BV maintenance (vs. not). Given that </w:t>
      </w:r>
      <w:r w:rsidR="0014013E">
        <w:t>whether or not treatment was given pre- vs. post-FDA approval for BV in this setting</w:t>
      </w:r>
      <w:r w:rsidR="00001260">
        <w:t xml:space="preserve"> had a significant influence on whether not patients received BV maintenance post-ASCT, we also used </w:t>
      </w:r>
      <w:r w:rsidR="00604A8C">
        <w:t xml:space="preserve">Cox models that stratified on whether or not treatment was given pre- vs. post-FDA approval of BV. Thus, we also evaluated homogeneity of effect by also stratifying on the timing of treatment in relation to FDA approval for these analyses as well. No significant differences were observed when looking at </w:t>
      </w:r>
      <w:r w:rsidR="00492029">
        <w:t xml:space="preserve">subsets based on quartile of the propensity scores. No significant differences were observed when looking at a higher </w:t>
      </w:r>
      <w:r w:rsidR="007D7F73">
        <w:t xml:space="preserve">breakdown using deciles. </w:t>
      </w:r>
    </w:p>
    <w:p w14:paraId="22304969" w14:textId="77777777" w:rsidR="005513C9" w:rsidRDefault="005513C9" w:rsidP="00D17841">
      <w:pPr>
        <w:jc w:val="both"/>
        <w:rPr>
          <w:u w:val="single"/>
        </w:rPr>
      </w:pPr>
    </w:p>
    <w:p w14:paraId="205F4735" w14:textId="4372B255" w:rsidR="007D7F73" w:rsidRPr="000B72A5" w:rsidRDefault="000B72A5" w:rsidP="00D17841">
      <w:pPr>
        <w:jc w:val="both"/>
        <w:rPr>
          <w:u w:val="single"/>
        </w:rPr>
      </w:pPr>
      <w:r w:rsidRPr="000B72A5">
        <w:rPr>
          <w:u w:val="single"/>
        </w:rPr>
        <w:t>Evaluation of Potential Unobserved Confounding</w:t>
      </w:r>
    </w:p>
    <w:p w14:paraId="2F088F82" w14:textId="6E236390" w:rsidR="000B72A5" w:rsidRDefault="00030C12" w:rsidP="00D17841">
      <w:pPr>
        <w:jc w:val="both"/>
      </w:pPr>
      <w:r>
        <w:lastRenderedPageBreak/>
        <w:t>Post-hoc sensitivity analyses were not conducted</w:t>
      </w:r>
      <w:r w:rsidR="001A0DDC">
        <w:t xml:space="preserve"> to evaluate </w:t>
      </w:r>
      <w:r w:rsidR="007F46B0">
        <w:t xml:space="preserve">the potential influence of </w:t>
      </w:r>
      <w:r w:rsidR="001A0DDC">
        <w:t>unobserved confounder</w:t>
      </w:r>
      <w:r w:rsidR="007F46B0">
        <w:t xml:space="preserve">s. </w:t>
      </w:r>
      <w:r w:rsidR="001A0DDC">
        <w:t xml:space="preserve"> </w:t>
      </w:r>
      <w:r w:rsidR="007F46B0">
        <w:t xml:space="preserve">In lieu of this, our analyses incorporated subgroup and stratified analyses to further evaluated and assess the robustness of or differences in these results between these potential </w:t>
      </w:r>
      <w:r w:rsidR="003F6557">
        <w:t>confounders that were not included in the propensity score calculation but evaluated directly. Here, we stratified analyses on whether or not treatment was given pre- vs. post-FDA approval of BV</w:t>
      </w:r>
      <w:r w:rsidR="00CB7499">
        <w:t xml:space="preserve"> in the Cox regression models, </w:t>
      </w:r>
      <w:r w:rsidR="00B436C0">
        <w:t xml:space="preserve">and where we also conducted subgroup analyses in those who were treated post-FDA approval. Due to the heavy influence of this variable on whether or not BV was given in maintenance post-ASCT, </w:t>
      </w:r>
      <w:r w:rsidR="00EA3FCB">
        <w:t>we could not effectively include it in the propensity scores calculated, where doing so would result in strongly bimodal distributions</w:t>
      </w:r>
      <w:r w:rsidR="00581EE5">
        <w:t xml:space="preserve"> reflecting the latent confounding influence of this variable. </w:t>
      </w:r>
    </w:p>
    <w:p w14:paraId="0B9CE5EA" w14:textId="4FBFAB74" w:rsidR="00581EE5" w:rsidRDefault="00581EE5" w:rsidP="00D17841">
      <w:pPr>
        <w:jc w:val="both"/>
      </w:pPr>
      <w:r>
        <w:t xml:space="preserve">Further, subset analyses were also conducted focusing on potential differences of effects in those who had achieved a partial metabolic response (PMR) or a complete metabolic response (CMR) to therapy prior to ASCT. </w:t>
      </w:r>
      <w:r w:rsidR="003F7EA3">
        <w:t xml:space="preserve">Finally, we also directly evaluated the influence of having a high Athera score on treatment effects </w:t>
      </w:r>
      <w:r w:rsidR="00117EDA">
        <w:t xml:space="preserve">in this setting for both PMR and CMR patients. </w:t>
      </w:r>
    </w:p>
    <w:p w14:paraId="3A10BA62" w14:textId="77777777" w:rsidR="005333EC" w:rsidRDefault="005333EC"/>
    <w:p w14:paraId="46CE0DBA" w14:textId="77777777" w:rsidR="00827631" w:rsidRDefault="00827631"/>
    <w:p w14:paraId="6D2C89EB" w14:textId="77777777" w:rsidR="00827631" w:rsidRDefault="00827631"/>
    <w:p w14:paraId="1780A5B4" w14:textId="149F0235" w:rsidR="003D5F08" w:rsidRDefault="003D5F08">
      <w:r w:rsidRPr="003D5F08">
        <w:rPr>
          <w:vertAlign w:val="superscript"/>
        </w:rPr>
        <w:t>1</w:t>
      </w:r>
      <w:r>
        <w:t>Leslie S, Thiebaud P</w:t>
      </w:r>
      <w:r w:rsidR="00DE2658">
        <w:t>.</w:t>
      </w:r>
      <w:r>
        <w:t xml:space="preserve"> Using Propensity Scores to Adjust For Treatment Selection Bias</w:t>
      </w:r>
      <w:r w:rsidR="003D0C21">
        <w:t>,</w:t>
      </w:r>
      <w:r>
        <w:t xml:space="preserve"> </w:t>
      </w:r>
      <w:r w:rsidR="003D0C21">
        <w:t xml:space="preserve">Paper 184-2007. 2007 SAS Global Forum. </w:t>
      </w:r>
      <w:hyperlink r:id="rId5" w:history="1">
        <w:r w:rsidR="003D0C21" w:rsidRPr="005E5206">
          <w:rPr>
            <w:rStyle w:val="Hyperlink"/>
          </w:rPr>
          <w:t>https://support.sas.com/resources/papers/proceedings/proceedings/forum2007/184-2007.pdf</w:t>
        </w:r>
      </w:hyperlink>
    </w:p>
    <w:p w14:paraId="423072DC" w14:textId="37279C7C" w:rsidR="006A3BAE" w:rsidRDefault="00DE2658">
      <w:r>
        <w:rPr>
          <w:vertAlign w:val="superscript"/>
        </w:rPr>
        <w:t>2</w:t>
      </w:r>
      <w:r>
        <w:t>Leslie S. Using Propensity Scores to Adjust For Treatment Selection Bias</w:t>
      </w:r>
      <w:r w:rsidR="006A3BAE">
        <w:t>.</w:t>
      </w:r>
      <w:r w:rsidR="006A3BAE" w:rsidRPr="006A3BAE">
        <w:t xml:space="preserve"> </w:t>
      </w:r>
      <w:hyperlink r:id="rId6" w:history="1">
        <w:r w:rsidR="006A3BAE" w:rsidRPr="00B95114">
          <w:rPr>
            <w:rStyle w:val="Hyperlink"/>
          </w:rPr>
          <w:t>https://www.lexjansen.com/wuss/2008/tut/tut09.pdf</w:t>
        </w:r>
      </w:hyperlink>
      <w:r w:rsidR="006A3BAE">
        <w:t xml:space="preserve"> </w:t>
      </w:r>
    </w:p>
    <w:p w14:paraId="4DAB25DC" w14:textId="77777777" w:rsidR="006A3BAE" w:rsidRDefault="006A3BAE"/>
    <w:p w14:paraId="7402240E" w14:textId="77777777" w:rsidR="00F77986" w:rsidRDefault="00F77986"/>
    <w:p w14:paraId="64BBF133" w14:textId="77777777" w:rsidR="00F77986" w:rsidRDefault="00F77986"/>
    <w:p w14:paraId="26EE5919" w14:textId="77777777" w:rsidR="00F77986" w:rsidRDefault="00F77986"/>
    <w:p w14:paraId="5247DA74" w14:textId="77777777" w:rsidR="00F77986" w:rsidRDefault="00F77986"/>
    <w:p w14:paraId="418502BD" w14:textId="77777777" w:rsidR="00F77986" w:rsidRDefault="00F77986"/>
    <w:p w14:paraId="386E63B2" w14:textId="77777777" w:rsidR="00F77986" w:rsidRDefault="00F77986"/>
    <w:p w14:paraId="02C91C87" w14:textId="77777777" w:rsidR="00F77986" w:rsidRDefault="00F77986"/>
    <w:p w14:paraId="7ACEE083" w14:textId="77777777" w:rsidR="00F77986" w:rsidRDefault="00F77986"/>
    <w:p w14:paraId="1865CAF8" w14:textId="4FA6764D" w:rsidR="006A6196" w:rsidRDefault="006A6196">
      <w:r>
        <w:lastRenderedPageBreak/>
        <w:t>Supplementary table 1</w:t>
      </w:r>
    </w:p>
    <w:tbl>
      <w:tblPr>
        <w:tblW w:w="0" w:type="auto"/>
        <w:jc w:val="center"/>
        <w:tblLayout w:type="fixed"/>
        <w:tblCellMar>
          <w:left w:w="0" w:type="dxa"/>
          <w:right w:w="0" w:type="dxa"/>
        </w:tblCellMar>
        <w:tblLook w:val="0000" w:firstRow="0" w:lastRow="0" w:firstColumn="0" w:lastColumn="0" w:noHBand="0" w:noVBand="0"/>
      </w:tblPr>
      <w:tblGrid>
        <w:gridCol w:w="3240"/>
        <w:gridCol w:w="1595"/>
        <w:gridCol w:w="1594"/>
        <w:gridCol w:w="1594"/>
        <w:gridCol w:w="1090"/>
      </w:tblGrid>
      <w:tr w:rsidR="00F927DF" w:rsidRPr="00385949" w14:paraId="28097820" w14:textId="77777777" w:rsidTr="00F614FC">
        <w:trPr>
          <w:cantSplit/>
          <w:tblHeader/>
          <w:jc w:val="center"/>
        </w:trPr>
        <w:tc>
          <w:tcPr>
            <w:tcW w:w="9113" w:type="dxa"/>
            <w:gridSpan w:val="5"/>
            <w:tcBorders>
              <w:top w:val="nil"/>
              <w:left w:val="nil"/>
              <w:bottom w:val="single" w:sz="4" w:space="0" w:color="000000"/>
              <w:right w:val="nil"/>
            </w:tcBorders>
            <w:shd w:val="clear" w:color="auto" w:fill="FFFFFF"/>
            <w:vAlign w:val="bottom"/>
          </w:tcPr>
          <w:p w14:paraId="5B069EDD" w14:textId="77777777" w:rsidR="00F927DF" w:rsidRPr="00385949" w:rsidRDefault="00F927DF" w:rsidP="00F614FC">
            <w:pPr>
              <w:keepNext/>
              <w:autoSpaceDE w:val="0"/>
              <w:autoSpaceDN w:val="0"/>
              <w:adjustRightInd w:val="0"/>
              <w:spacing w:after="0" w:line="240" w:lineRule="auto"/>
              <w:ind w:left="86"/>
              <w:rPr>
                <w:rFonts w:ascii="Arial" w:eastAsia="Times New Roman" w:hAnsi="Arial" w:cs="Arial"/>
                <w:color w:val="000000"/>
                <w:kern w:val="0"/>
                <w:sz w:val="20"/>
                <w:szCs w:val="20"/>
              </w:rPr>
            </w:pPr>
          </w:p>
        </w:tc>
      </w:tr>
      <w:tr w:rsidR="00F927DF" w:rsidRPr="00385949" w14:paraId="64DCF3DD" w14:textId="77777777" w:rsidTr="00F614FC">
        <w:trPr>
          <w:cantSplit/>
          <w:tblHeader/>
          <w:jc w:val="center"/>
        </w:trPr>
        <w:tc>
          <w:tcPr>
            <w:tcW w:w="3240" w:type="dxa"/>
            <w:tcBorders>
              <w:top w:val="nil"/>
              <w:left w:val="nil"/>
              <w:bottom w:val="nil"/>
              <w:right w:val="nil"/>
            </w:tcBorders>
            <w:shd w:val="clear" w:color="auto" w:fill="FFFFFF"/>
            <w:vAlign w:val="bottom"/>
          </w:tcPr>
          <w:p w14:paraId="0E52366D" w14:textId="77777777" w:rsidR="00F927DF" w:rsidRPr="00385949" w:rsidRDefault="00F927DF" w:rsidP="00F614FC">
            <w:pPr>
              <w:keepNext/>
              <w:autoSpaceDE w:val="0"/>
              <w:autoSpaceDN w:val="0"/>
              <w:adjustRightInd w:val="0"/>
              <w:spacing w:after="0" w:line="240" w:lineRule="auto"/>
              <w:jc w:val="center"/>
              <w:rPr>
                <w:rFonts w:ascii="Arial" w:eastAsia="Times New Roman" w:hAnsi="Arial" w:cs="Arial"/>
                <w:color w:val="000000"/>
                <w:kern w:val="0"/>
                <w:sz w:val="20"/>
                <w:szCs w:val="20"/>
              </w:rPr>
            </w:pPr>
          </w:p>
        </w:tc>
        <w:tc>
          <w:tcPr>
            <w:tcW w:w="3189" w:type="dxa"/>
            <w:gridSpan w:val="2"/>
            <w:tcBorders>
              <w:top w:val="nil"/>
              <w:left w:val="nil"/>
              <w:bottom w:val="nil"/>
              <w:right w:val="nil"/>
            </w:tcBorders>
            <w:shd w:val="clear" w:color="auto" w:fill="FFFFFF"/>
            <w:vAlign w:val="bottom"/>
          </w:tcPr>
          <w:p w14:paraId="02FE9C10" w14:textId="77777777" w:rsidR="00F927DF" w:rsidRPr="00385949" w:rsidRDefault="00F927DF" w:rsidP="00F614FC">
            <w:pPr>
              <w:keepNext/>
              <w:autoSpaceDE w:val="0"/>
              <w:autoSpaceDN w:val="0"/>
              <w:adjustRightInd w:val="0"/>
              <w:spacing w:after="0" w:line="240" w:lineRule="auto"/>
              <w:jc w:val="center"/>
              <w:rPr>
                <w:rFonts w:ascii="Arial" w:eastAsia="Times New Roman" w:hAnsi="Arial" w:cs="Arial"/>
                <w:color w:val="000000"/>
                <w:kern w:val="0"/>
                <w:sz w:val="20"/>
                <w:szCs w:val="20"/>
              </w:rPr>
            </w:pPr>
            <w:r>
              <w:rPr>
                <w:rFonts w:ascii="Arial" w:eastAsia="Times New Roman" w:hAnsi="Arial" w:cs="Arial"/>
                <w:color w:val="000000"/>
                <w:kern w:val="0"/>
                <w:sz w:val="20"/>
                <w:szCs w:val="20"/>
              </w:rPr>
              <w:t>Post-ASCT treatment</w:t>
            </w:r>
          </w:p>
        </w:tc>
        <w:tc>
          <w:tcPr>
            <w:tcW w:w="2684" w:type="dxa"/>
            <w:gridSpan w:val="2"/>
            <w:tcBorders>
              <w:top w:val="nil"/>
              <w:left w:val="nil"/>
              <w:bottom w:val="nil"/>
              <w:right w:val="nil"/>
            </w:tcBorders>
            <w:shd w:val="clear" w:color="auto" w:fill="FFFFFF"/>
            <w:vAlign w:val="bottom"/>
          </w:tcPr>
          <w:p w14:paraId="7CB5C895" w14:textId="77777777" w:rsidR="00F927DF" w:rsidRPr="00385949" w:rsidRDefault="00F927DF" w:rsidP="00F614FC">
            <w:pPr>
              <w:keepNext/>
              <w:autoSpaceDE w:val="0"/>
              <w:autoSpaceDN w:val="0"/>
              <w:adjustRightInd w:val="0"/>
              <w:spacing w:after="0" w:line="240" w:lineRule="auto"/>
              <w:jc w:val="center"/>
              <w:rPr>
                <w:rFonts w:ascii="Arial" w:eastAsia="Times New Roman" w:hAnsi="Arial" w:cs="Arial"/>
                <w:color w:val="000000"/>
                <w:kern w:val="0"/>
                <w:sz w:val="20"/>
                <w:szCs w:val="20"/>
              </w:rPr>
            </w:pPr>
          </w:p>
        </w:tc>
      </w:tr>
      <w:tr w:rsidR="00F927DF" w:rsidRPr="00385949" w14:paraId="1BBBD42B" w14:textId="77777777" w:rsidTr="00F614FC">
        <w:trPr>
          <w:cantSplit/>
          <w:tblHeader/>
          <w:jc w:val="center"/>
        </w:trPr>
        <w:tc>
          <w:tcPr>
            <w:tcW w:w="3240" w:type="dxa"/>
            <w:tcBorders>
              <w:top w:val="nil"/>
              <w:left w:val="nil"/>
              <w:bottom w:val="single" w:sz="2" w:space="0" w:color="000000"/>
              <w:right w:val="nil"/>
            </w:tcBorders>
            <w:shd w:val="clear" w:color="auto" w:fill="FFFFFF"/>
            <w:vAlign w:val="bottom"/>
          </w:tcPr>
          <w:p w14:paraId="0B84603F" w14:textId="77777777" w:rsidR="00F927DF" w:rsidRPr="00385949" w:rsidRDefault="00F927DF" w:rsidP="00F614FC">
            <w:pPr>
              <w:keepNext/>
              <w:autoSpaceDE w:val="0"/>
              <w:autoSpaceDN w:val="0"/>
              <w:adjustRightInd w:val="0"/>
              <w:spacing w:after="0" w:line="240" w:lineRule="auto"/>
              <w:jc w:val="center"/>
              <w:rPr>
                <w:rFonts w:ascii="Arial" w:eastAsia="Times New Roman" w:hAnsi="Arial" w:cs="Arial"/>
                <w:color w:val="000000"/>
                <w:kern w:val="0"/>
                <w:sz w:val="20"/>
                <w:szCs w:val="20"/>
              </w:rPr>
            </w:pPr>
          </w:p>
        </w:tc>
        <w:tc>
          <w:tcPr>
            <w:tcW w:w="1595" w:type="dxa"/>
            <w:tcBorders>
              <w:top w:val="nil"/>
              <w:left w:val="nil"/>
              <w:bottom w:val="single" w:sz="2" w:space="0" w:color="000000"/>
              <w:right w:val="nil"/>
            </w:tcBorders>
            <w:shd w:val="clear" w:color="auto" w:fill="FFFFFF"/>
            <w:vAlign w:val="bottom"/>
          </w:tcPr>
          <w:p w14:paraId="706D0722" w14:textId="77777777" w:rsidR="00F927DF" w:rsidRPr="00385949" w:rsidRDefault="00F927DF" w:rsidP="00F614FC">
            <w:pPr>
              <w:keepNext/>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 xml:space="preserve">No </w:t>
            </w:r>
            <w:r>
              <w:rPr>
                <w:rFonts w:ascii="Arial" w:eastAsia="Times New Roman" w:hAnsi="Arial" w:cs="Arial"/>
                <w:color w:val="000000"/>
                <w:kern w:val="0"/>
                <w:sz w:val="20"/>
                <w:szCs w:val="20"/>
              </w:rPr>
              <w:t xml:space="preserve">BV </w:t>
            </w:r>
            <w:r w:rsidRPr="00385949">
              <w:rPr>
                <w:rFonts w:ascii="Arial" w:eastAsia="Times New Roman" w:hAnsi="Arial" w:cs="Arial"/>
                <w:color w:val="000000"/>
                <w:kern w:val="0"/>
                <w:sz w:val="20"/>
                <w:szCs w:val="20"/>
              </w:rPr>
              <w:t>Maintenance</w:t>
            </w:r>
            <w:r w:rsidRPr="00385949">
              <w:rPr>
                <w:rFonts w:ascii="Arial" w:eastAsia="Times New Roman" w:hAnsi="Arial" w:cs="Arial"/>
                <w:color w:val="000000"/>
                <w:kern w:val="0"/>
                <w:sz w:val="20"/>
                <w:szCs w:val="20"/>
              </w:rPr>
              <w:br/>
              <w:t>(N=556)</w:t>
            </w:r>
          </w:p>
        </w:tc>
        <w:tc>
          <w:tcPr>
            <w:tcW w:w="1594" w:type="dxa"/>
            <w:tcBorders>
              <w:top w:val="nil"/>
              <w:left w:val="nil"/>
              <w:bottom w:val="single" w:sz="2" w:space="0" w:color="000000"/>
              <w:right w:val="nil"/>
            </w:tcBorders>
            <w:shd w:val="clear" w:color="auto" w:fill="FFFFFF"/>
            <w:vAlign w:val="bottom"/>
          </w:tcPr>
          <w:p w14:paraId="21B790AD" w14:textId="77777777" w:rsidR="00F927DF" w:rsidRPr="00385949" w:rsidRDefault="00F927DF" w:rsidP="00F614FC">
            <w:pPr>
              <w:keepNext/>
              <w:autoSpaceDE w:val="0"/>
              <w:autoSpaceDN w:val="0"/>
              <w:adjustRightInd w:val="0"/>
              <w:spacing w:after="0" w:line="240" w:lineRule="auto"/>
              <w:jc w:val="center"/>
              <w:rPr>
                <w:rFonts w:ascii="Arial" w:eastAsia="Times New Roman" w:hAnsi="Arial" w:cs="Arial"/>
                <w:color w:val="000000"/>
                <w:kern w:val="0"/>
                <w:sz w:val="20"/>
                <w:szCs w:val="20"/>
              </w:rPr>
            </w:pPr>
            <w:r>
              <w:rPr>
                <w:rFonts w:ascii="Arial" w:eastAsia="Times New Roman" w:hAnsi="Arial" w:cs="Arial"/>
                <w:color w:val="000000"/>
                <w:kern w:val="0"/>
                <w:sz w:val="20"/>
                <w:szCs w:val="20"/>
              </w:rPr>
              <w:t xml:space="preserve">BV </w:t>
            </w:r>
            <w:r w:rsidRPr="00385949">
              <w:rPr>
                <w:rFonts w:ascii="Arial" w:eastAsia="Times New Roman" w:hAnsi="Arial" w:cs="Arial"/>
                <w:color w:val="000000"/>
                <w:kern w:val="0"/>
                <w:sz w:val="20"/>
                <w:szCs w:val="20"/>
              </w:rPr>
              <w:t>Maintenance</w:t>
            </w:r>
            <w:r w:rsidRPr="00385949">
              <w:rPr>
                <w:rFonts w:ascii="Arial" w:eastAsia="Times New Roman" w:hAnsi="Arial" w:cs="Arial"/>
                <w:color w:val="000000"/>
                <w:kern w:val="0"/>
                <w:sz w:val="20"/>
                <w:szCs w:val="20"/>
              </w:rPr>
              <w:br/>
              <w:t>(N=177)</w:t>
            </w:r>
          </w:p>
        </w:tc>
        <w:tc>
          <w:tcPr>
            <w:tcW w:w="1594" w:type="dxa"/>
            <w:tcBorders>
              <w:top w:val="nil"/>
              <w:left w:val="nil"/>
              <w:bottom w:val="single" w:sz="2" w:space="0" w:color="000000"/>
              <w:right w:val="nil"/>
            </w:tcBorders>
            <w:shd w:val="clear" w:color="auto" w:fill="FFFFFF"/>
            <w:vAlign w:val="bottom"/>
          </w:tcPr>
          <w:p w14:paraId="1A35F0ED" w14:textId="77777777" w:rsidR="00F927DF" w:rsidRPr="00385949" w:rsidRDefault="00F927DF" w:rsidP="00F614FC">
            <w:pPr>
              <w:keepNext/>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Total</w:t>
            </w:r>
            <w:r w:rsidRPr="00385949">
              <w:rPr>
                <w:rFonts w:ascii="Arial" w:eastAsia="Times New Roman" w:hAnsi="Arial" w:cs="Arial"/>
                <w:color w:val="000000"/>
                <w:kern w:val="0"/>
                <w:sz w:val="20"/>
                <w:szCs w:val="20"/>
              </w:rPr>
              <w:br/>
              <w:t>(N=733)</w:t>
            </w:r>
          </w:p>
        </w:tc>
        <w:tc>
          <w:tcPr>
            <w:tcW w:w="1090" w:type="dxa"/>
            <w:tcBorders>
              <w:top w:val="nil"/>
              <w:left w:val="nil"/>
              <w:bottom w:val="single" w:sz="2" w:space="0" w:color="000000"/>
              <w:right w:val="nil"/>
            </w:tcBorders>
            <w:shd w:val="clear" w:color="auto" w:fill="FFFFFF"/>
            <w:vAlign w:val="bottom"/>
          </w:tcPr>
          <w:p w14:paraId="226870CB" w14:textId="77777777" w:rsidR="00F927DF" w:rsidRPr="00385949" w:rsidRDefault="00F927DF" w:rsidP="00F614FC">
            <w:pPr>
              <w:keepNext/>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P-value</w:t>
            </w:r>
          </w:p>
        </w:tc>
      </w:tr>
      <w:tr w:rsidR="00F927DF" w:rsidRPr="00385949" w14:paraId="260ED2A9" w14:textId="77777777" w:rsidTr="00F614FC">
        <w:trPr>
          <w:cantSplit/>
          <w:jc w:val="center"/>
        </w:trPr>
        <w:tc>
          <w:tcPr>
            <w:tcW w:w="3240" w:type="dxa"/>
            <w:tcBorders>
              <w:top w:val="single" w:sz="2" w:space="0" w:color="000000"/>
              <w:left w:val="nil"/>
              <w:bottom w:val="nil"/>
              <w:right w:val="nil"/>
            </w:tcBorders>
            <w:shd w:val="clear" w:color="auto" w:fill="FFFFFF"/>
          </w:tcPr>
          <w:p w14:paraId="0FC746D9" w14:textId="77777777" w:rsidR="00F927DF" w:rsidRPr="00385949" w:rsidRDefault="00F927DF" w:rsidP="00F614FC">
            <w:pPr>
              <w:autoSpaceDE w:val="0"/>
              <w:autoSpaceDN w:val="0"/>
              <w:adjustRightInd w:val="0"/>
              <w:spacing w:after="0" w:line="240" w:lineRule="auto"/>
              <w:ind w:left="72"/>
              <w:rPr>
                <w:rFonts w:ascii="Arial" w:eastAsia="Times New Roman" w:hAnsi="Arial" w:cs="Arial"/>
                <w:b/>
                <w:bCs/>
                <w:color w:val="000000"/>
                <w:kern w:val="0"/>
                <w:sz w:val="20"/>
                <w:szCs w:val="20"/>
              </w:rPr>
            </w:pPr>
            <w:r w:rsidRPr="00385949">
              <w:rPr>
                <w:rFonts w:ascii="Arial" w:eastAsia="Times New Roman" w:hAnsi="Arial" w:cs="Arial"/>
                <w:b/>
                <w:bCs/>
                <w:color w:val="000000"/>
                <w:kern w:val="0"/>
                <w:sz w:val="20"/>
                <w:szCs w:val="20"/>
              </w:rPr>
              <w:t>Center</w:t>
            </w:r>
            <w:r w:rsidRPr="00385949">
              <w:rPr>
                <w:rFonts w:ascii="Arial" w:eastAsia="Times New Roman" w:hAnsi="Arial" w:cs="Arial"/>
                <w:color w:val="000000"/>
                <w:kern w:val="0"/>
                <w:sz w:val="20"/>
                <w:szCs w:val="20"/>
              </w:rPr>
              <w:t>, n (%)</w:t>
            </w:r>
          </w:p>
        </w:tc>
        <w:tc>
          <w:tcPr>
            <w:tcW w:w="1595" w:type="dxa"/>
            <w:tcBorders>
              <w:top w:val="single" w:sz="2" w:space="0" w:color="000000"/>
              <w:left w:val="nil"/>
              <w:bottom w:val="nil"/>
              <w:right w:val="nil"/>
            </w:tcBorders>
            <w:shd w:val="clear" w:color="auto" w:fill="FFFFFF"/>
          </w:tcPr>
          <w:p w14:paraId="6AF5A269"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p>
        </w:tc>
        <w:tc>
          <w:tcPr>
            <w:tcW w:w="1594" w:type="dxa"/>
            <w:tcBorders>
              <w:top w:val="single" w:sz="2" w:space="0" w:color="000000"/>
              <w:left w:val="nil"/>
              <w:bottom w:val="nil"/>
              <w:right w:val="nil"/>
            </w:tcBorders>
            <w:shd w:val="clear" w:color="auto" w:fill="FFFFFF"/>
          </w:tcPr>
          <w:p w14:paraId="6C647D18"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p>
        </w:tc>
        <w:tc>
          <w:tcPr>
            <w:tcW w:w="1594" w:type="dxa"/>
            <w:tcBorders>
              <w:top w:val="single" w:sz="2" w:space="0" w:color="000000"/>
              <w:left w:val="nil"/>
              <w:bottom w:val="nil"/>
              <w:right w:val="nil"/>
            </w:tcBorders>
            <w:shd w:val="clear" w:color="auto" w:fill="FFFFFF"/>
          </w:tcPr>
          <w:p w14:paraId="661FF1BC"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p>
        </w:tc>
        <w:tc>
          <w:tcPr>
            <w:tcW w:w="1090" w:type="dxa"/>
            <w:tcBorders>
              <w:top w:val="single" w:sz="2" w:space="0" w:color="000000"/>
              <w:left w:val="nil"/>
              <w:bottom w:val="nil"/>
              <w:right w:val="nil"/>
            </w:tcBorders>
            <w:shd w:val="clear" w:color="auto" w:fill="FFFFFF"/>
          </w:tcPr>
          <w:p w14:paraId="7289A86A"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&lt;.0001</w:t>
            </w:r>
            <w:r w:rsidRPr="00385949">
              <w:rPr>
                <w:rFonts w:ascii="Arial" w:eastAsia="Times New Roman" w:hAnsi="Arial" w:cs="Arial"/>
                <w:color w:val="000000"/>
                <w:kern w:val="0"/>
                <w:sz w:val="20"/>
                <w:szCs w:val="20"/>
                <w:vertAlign w:val="superscript"/>
              </w:rPr>
              <w:t>1</w:t>
            </w:r>
          </w:p>
        </w:tc>
      </w:tr>
      <w:tr w:rsidR="00F927DF" w:rsidRPr="00385949" w14:paraId="36516841" w14:textId="77777777" w:rsidTr="00F614FC">
        <w:trPr>
          <w:cantSplit/>
          <w:jc w:val="center"/>
        </w:trPr>
        <w:tc>
          <w:tcPr>
            <w:tcW w:w="3240" w:type="dxa"/>
            <w:tcBorders>
              <w:top w:val="nil"/>
              <w:left w:val="nil"/>
              <w:bottom w:val="nil"/>
              <w:right w:val="nil"/>
            </w:tcBorders>
            <w:shd w:val="clear" w:color="auto" w:fill="EFEFEF"/>
          </w:tcPr>
          <w:p w14:paraId="21B46374" w14:textId="77777777" w:rsidR="00F927DF" w:rsidRPr="00385949" w:rsidRDefault="00F927DF" w:rsidP="00F614FC">
            <w:pPr>
              <w:autoSpaceDE w:val="0"/>
              <w:autoSpaceDN w:val="0"/>
              <w:adjustRightInd w:val="0"/>
              <w:spacing w:after="0" w:line="240" w:lineRule="auto"/>
              <w:ind w:left="173" w:firstLine="173"/>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CCF</w:t>
            </w:r>
          </w:p>
        </w:tc>
        <w:tc>
          <w:tcPr>
            <w:tcW w:w="1595" w:type="dxa"/>
            <w:tcBorders>
              <w:top w:val="nil"/>
              <w:left w:val="nil"/>
              <w:bottom w:val="nil"/>
              <w:right w:val="nil"/>
            </w:tcBorders>
            <w:shd w:val="clear" w:color="auto" w:fill="EFEFEF"/>
          </w:tcPr>
          <w:p w14:paraId="20582C9D"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13 (92.9%)</w:t>
            </w:r>
          </w:p>
        </w:tc>
        <w:tc>
          <w:tcPr>
            <w:tcW w:w="1594" w:type="dxa"/>
            <w:tcBorders>
              <w:top w:val="nil"/>
              <w:left w:val="nil"/>
              <w:bottom w:val="nil"/>
              <w:right w:val="nil"/>
            </w:tcBorders>
            <w:shd w:val="clear" w:color="auto" w:fill="EFEFEF"/>
          </w:tcPr>
          <w:p w14:paraId="71B443D8"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1 (7.1%)</w:t>
            </w:r>
          </w:p>
        </w:tc>
        <w:tc>
          <w:tcPr>
            <w:tcW w:w="1594" w:type="dxa"/>
            <w:tcBorders>
              <w:top w:val="nil"/>
              <w:left w:val="nil"/>
              <w:bottom w:val="nil"/>
              <w:right w:val="nil"/>
            </w:tcBorders>
            <w:shd w:val="clear" w:color="auto" w:fill="EFEFEF"/>
          </w:tcPr>
          <w:p w14:paraId="2B9BBA3E"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14 (1.9%)</w:t>
            </w:r>
          </w:p>
        </w:tc>
        <w:tc>
          <w:tcPr>
            <w:tcW w:w="1090" w:type="dxa"/>
            <w:tcBorders>
              <w:top w:val="nil"/>
              <w:left w:val="nil"/>
              <w:bottom w:val="nil"/>
              <w:right w:val="nil"/>
            </w:tcBorders>
            <w:shd w:val="clear" w:color="auto" w:fill="EFEFEF"/>
          </w:tcPr>
          <w:p w14:paraId="1044B145"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p>
        </w:tc>
      </w:tr>
      <w:tr w:rsidR="00F927DF" w:rsidRPr="00385949" w14:paraId="0735A702" w14:textId="77777777" w:rsidTr="00F614FC">
        <w:trPr>
          <w:cantSplit/>
          <w:jc w:val="center"/>
        </w:trPr>
        <w:tc>
          <w:tcPr>
            <w:tcW w:w="3240" w:type="dxa"/>
            <w:tcBorders>
              <w:top w:val="nil"/>
              <w:left w:val="nil"/>
              <w:bottom w:val="nil"/>
              <w:right w:val="nil"/>
            </w:tcBorders>
            <w:shd w:val="clear" w:color="auto" w:fill="FFFFFF"/>
          </w:tcPr>
          <w:p w14:paraId="6C194453" w14:textId="77777777" w:rsidR="00F927DF" w:rsidRPr="00385949" w:rsidRDefault="00F927DF" w:rsidP="00F614FC">
            <w:pPr>
              <w:autoSpaceDE w:val="0"/>
              <w:autoSpaceDN w:val="0"/>
              <w:adjustRightInd w:val="0"/>
              <w:spacing w:after="0" w:line="240" w:lineRule="auto"/>
              <w:ind w:left="173" w:firstLine="173"/>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Czech</w:t>
            </w:r>
          </w:p>
        </w:tc>
        <w:tc>
          <w:tcPr>
            <w:tcW w:w="1595" w:type="dxa"/>
            <w:tcBorders>
              <w:top w:val="nil"/>
              <w:left w:val="nil"/>
              <w:bottom w:val="nil"/>
              <w:right w:val="nil"/>
            </w:tcBorders>
            <w:shd w:val="clear" w:color="auto" w:fill="FFFFFF"/>
          </w:tcPr>
          <w:p w14:paraId="205F25A1"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95 (75.4%)</w:t>
            </w:r>
          </w:p>
        </w:tc>
        <w:tc>
          <w:tcPr>
            <w:tcW w:w="1594" w:type="dxa"/>
            <w:tcBorders>
              <w:top w:val="nil"/>
              <w:left w:val="nil"/>
              <w:bottom w:val="nil"/>
              <w:right w:val="nil"/>
            </w:tcBorders>
            <w:shd w:val="clear" w:color="auto" w:fill="FFFFFF"/>
          </w:tcPr>
          <w:p w14:paraId="7D336687"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31 (24.6%)</w:t>
            </w:r>
          </w:p>
        </w:tc>
        <w:tc>
          <w:tcPr>
            <w:tcW w:w="1594" w:type="dxa"/>
            <w:tcBorders>
              <w:top w:val="nil"/>
              <w:left w:val="nil"/>
              <w:bottom w:val="nil"/>
              <w:right w:val="nil"/>
            </w:tcBorders>
            <w:shd w:val="clear" w:color="auto" w:fill="FFFFFF"/>
          </w:tcPr>
          <w:p w14:paraId="37F14F77"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126 (17.2%)</w:t>
            </w:r>
          </w:p>
        </w:tc>
        <w:tc>
          <w:tcPr>
            <w:tcW w:w="1090" w:type="dxa"/>
            <w:tcBorders>
              <w:top w:val="nil"/>
              <w:left w:val="nil"/>
              <w:bottom w:val="nil"/>
              <w:right w:val="nil"/>
            </w:tcBorders>
            <w:shd w:val="clear" w:color="auto" w:fill="FFFFFF"/>
          </w:tcPr>
          <w:p w14:paraId="3F825CFA"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p>
        </w:tc>
      </w:tr>
      <w:tr w:rsidR="00F927DF" w:rsidRPr="00385949" w14:paraId="46BBD81C" w14:textId="77777777" w:rsidTr="00F614FC">
        <w:trPr>
          <w:cantSplit/>
          <w:jc w:val="center"/>
        </w:trPr>
        <w:tc>
          <w:tcPr>
            <w:tcW w:w="3240" w:type="dxa"/>
            <w:tcBorders>
              <w:top w:val="nil"/>
              <w:left w:val="nil"/>
              <w:bottom w:val="nil"/>
              <w:right w:val="nil"/>
            </w:tcBorders>
            <w:shd w:val="clear" w:color="auto" w:fill="EFEFEF"/>
          </w:tcPr>
          <w:p w14:paraId="3054B671" w14:textId="77777777" w:rsidR="00F927DF" w:rsidRPr="00385949" w:rsidRDefault="00F927DF" w:rsidP="00F614FC">
            <w:pPr>
              <w:autoSpaceDE w:val="0"/>
              <w:autoSpaceDN w:val="0"/>
              <w:adjustRightInd w:val="0"/>
              <w:spacing w:after="0" w:line="240" w:lineRule="auto"/>
              <w:ind w:left="173" w:firstLine="173"/>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John Hopkins</w:t>
            </w:r>
          </w:p>
        </w:tc>
        <w:tc>
          <w:tcPr>
            <w:tcW w:w="1595" w:type="dxa"/>
            <w:tcBorders>
              <w:top w:val="nil"/>
              <w:left w:val="nil"/>
              <w:bottom w:val="nil"/>
              <w:right w:val="nil"/>
            </w:tcBorders>
            <w:shd w:val="clear" w:color="auto" w:fill="EFEFEF"/>
          </w:tcPr>
          <w:p w14:paraId="3CE7E82A"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16 (88.9%)</w:t>
            </w:r>
          </w:p>
        </w:tc>
        <w:tc>
          <w:tcPr>
            <w:tcW w:w="1594" w:type="dxa"/>
            <w:tcBorders>
              <w:top w:val="nil"/>
              <w:left w:val="nil"/>
              <w:bottom w:val="nil"/>
              <w:right w:val="nil"/>
            </w:tcBorders>
            <w:shd w:val="clear" w:color="auto" w:fill="EFEFEF"/>
          </w:tcPr>
          <w:p w14:paraId="27C2684E"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2 (11.1%)</w:t>
            </w:r>
          </w:p>
        </w:tc>
        <w:tc>
          <w:tcPr>
            <w:tcW w:w="1594" w:type="dxa"/>
            <w:tcBorders>
              <w:top w:val="nil"/>
              <w:left w:val="nil"/>
              <w:bottom w:val="nil"/>
              <w:right w:val="nil"/>
            </w:tcBorders>
            <w:shd w:val="clear" w:color="auto" w:fill="EFEFEF"/>
          </w:tcPr>
          <w:p w14:paraId="68283207"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18 (2.5%)</w:t>
            </w:r>
          </w:p>
        </w:tc>
        <w:tc>
          <w:tcPr>
            <w:tcW w:w="1090" w:type="dxa"/>
            <w:tcBorders>
              <w:top w:val="nil"/>
              <w:left w:val="nil"/>
              <w:bottom w:val="nil"/>
              <w:right w:val="nil"/>
            </w:tcBorders>
            <w:shd w:val="clear" w:color="auto" w:fill="EFEFEF"/>
          </w:tcPr>
          <w:p w14:paraId="69143180"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p>
        </w:tc>
      </w:tr>
      <w:tr w:rsidR="00F927DF" w:rsidRPr="00385949" w14:paraId="25B45375" w14:textId="77777777" w:rsidTr="00F614FC">
        <w:trPr>
          <w:cantSplit/>
          <w:jc w:val="center"/>
        </w:trPr>
        <w:tc>
          <w:tcPr>
            <w:tcW w:w="3240" w:type="dxa"/>
            <w:tcBorders>
              <w:top w:val="nil"/>
              <w:left w:val="nil"/>
              <w:bottom w:val="nil"/>
              <w:right w:val="nil"/>
            </w:tcBorders>
            <w:shd w:val="clear" w:color="auto" w:fill="FFFFFF"/>
          </w:tcPr>
          <w:p w14:paraId="2F5E977E" w14:textId="77777777" w:rsidR="00F927DF" w:rsidRPr="00385949" w:rsidRDefault="00F927DF" w:rsidP="00F614FC">
            <w:pPr>
              <w:autoSpaceDE w:val="0"/>
              <w:autoSpaceDN w:val="0"/>
              <w:adjustRightInd w:val="0"/>
              <w:spacing w:after="0" w:line="240" w:lineRule="auto"/>
              <w:ind w:left="173" w:firstLine="173"/>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Mayo</w:t>
            </w:r>
          </w:p>
        </w:tc>
        <w:tc>
          <w:tcPr>
            <w:tcW w:w="1595" w:type="dxa"/>
            <w:tcBorders>
              <w:top w:val="nil"/>
              <w:left w:val="nil"/>
              <w:bottom w:val="nil"/>
              <w:right w:val="nil"/>
            </w:tcBorders>
            <w:shd w:val="clear" w:color="auto" w:fill="FFFFFF"/>
          </w:tcPr>
          <w:p w14:paraId="5AE69723"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93 (72.7%)</w:t>
            </w:r>
          </w:p>
        </w:tc>
        <w:tc>
          <w:tcPr>
            <w:tcW w:w="1594" w:type="dxa"/>
            <w:tcBorders>
              <w:top w:val="nil"/>
              <w:left w:val="nil"/>
              <w:bottom w:val="nil"/>
              <w:right w:val="nil"/>
            </w:tcBorders>
            <w:shd w:val="clear" w:color="auto" w:fill="FFFFFF"/>
          </w:tcPr>
          <w:p w14:paraId="5B40F5CD"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35 (27.3%)</w:t>
            </w:r>
          </w:p>
        </w:tc>
        <w:tc>
          <w:tcPr>
            <w:tcW w:w="1594" w:type="dxa"/>
            <w:tcBorders>
              <w:top w:val="nil"/>
              <w:left w:val="nil"/>
              <w:bottom w:val="nil"/>
              <w:right w:val="nil"/>
            </w:tcBorders>
            <w:shd w:val="clear" w:color="auto" w:fill="FFFFFF"/>
          </w:tcPr>
          <w:p w14:paraId="66229C60"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128 (17.5%)</w:t>
            </w:r>
          </w:p>
        </w:tc>
        <w:tc>
          <w:tcPr>
            <w:tcW w:w="1090" w:type="dxa"/>
            <w:tcBorders>
              <w:top w:val="nil"/>
              <w:left w:val="nil"/>
              <w:bottom w:val="nil"/>
              <w:right w:val="nil"/>
            </w:tcBorders>
            <w:shd w:val="clear" w:color="auto" w:fill="FFFFFF"/>
          </w:tcPr>
          <w:p w14:paraId="58D60616"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p>
        </w:tc>
      </w:tr>
      <w:tr w:rsidR="00F927DF" w:rsidRPr="00385949" w14:paraId="40D34704" w14:textId="77777777" w:rsidTr="00F614FC">
        <w:trPr>
          <w:cantSplit/>
          <w:jc w:val="center"/>
        </w:trPr>
        <w:tc>
          <w:tcPr>
            <w:tcW w:w="3240" w:type="dxa"/>
            <w:tcBorders>
              <w:top w:val="nil"/>
              <w:left w:val="nil"/>
              <w:bottom w:val="nil"/>
              <w:right w:val="nil"/>
            </w:tcBorders>
            <w:shd w:val="clear" w:color="auto" w:fill="EFEFEF"/>
          </w:tcPr>
          <w:p w14:paraId="11F284B3" w14:textId="77777777" w:rsidR="00F927DF" w:rsidRPr="00385949" w:rsidRDefault="00F927DF" w:rsidP="00F614FC">
            <w:pPr>
              <w:autoSpaceDE w:val="0"/>
              <w:autoSpaceDN w:val="0"/>
              <w:adjustRightInd w:val="0"/>
              <w:spacing w:after="0" w:line="240" w:lineRule="auto"/>
              <w:ind w:left="173" w:firstLine="173"/>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Mount Sinai</w:t>
            </w:r>
          </w:p>
        </w:tc>
        <w:tc>
          <w:tcPr>
            <w:tcW w:w="1595" w:type="dxa"/>
            <w:tcBorders>
              <w:top w:val="nil"/>
              <w:left w:val="nil"/>
              <w:bottom w:val="nil"/>
              <w:right w:val="nil"/>
            </w:tcBorders>
            <w:shd w:val="clear" w:color="auto" w:fill="EFEFEF"/>
          </w:tcPr>
          <w:p w14:paraId="1FD98EA9"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28 (80.0%)</w:t>
            </w:r>
          </w:p>
        </w:tc>
        <w:tc>
          <w:tcPr>
            <w:tcW w:w="1594" w:type="dxa"/>
            <w:tcBorders>
              <w:top w:val="nil"/>
              <w:left w:val="nil"/>
              <w:bottom w:val="nil"/>
              <w:right w:val="nil"/>
            </w:tcBorders>
            <w:shd w:val="clear" w:color="auto" w:fill="EFEFEF"/>
          </w:tcPr>
          <w:p w14:paraId="7842B5BE"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7 (20.0%)</w:t>
            </w:r>
          </w:p>
        </w:tc>
        <w:tc>
          <w:tcPr>
            <w:tcW w:w="1594" w:type="dxa"/>
            <w:tcBorders>
              <w:top w:val="nil"/>
              <w:left w:val="nil"/>
              <w:bottom w:val="nil"/>
              <w:right w:val="nil"/>
            </w:tcBorders>
            <w:shd w:val="clear" w:color="auto" w:fill="EFEFEF"/>
          </w:tcPr>
          <w:p w14:paraId="32433DC0"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35 (4.8%)</w:t>
            </w:r>
          </w:p>
        </w:tc>
        <w:tc>
          <w:tcPr>
            <w:tcW w:w="1090" w:type="dxa"/>
            <w:tcBorders>
              <w:top w:val="nil"/>
              <w:left w:val="nil"/>
              <w:bottom w:val="nil"/>
              <w:right w:val="nil"/>
            </w:tcBorders>
            <w:shd w:val="clear" w:color="auto" w:fill="EFEFEF"/>
          </w:tcPr>
          <w:p w14:paraId="58A4AED0"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p>
        </w:tc>
      </w:tr>
      <w:tr w:rsidR="00F927DF" w:rsidRPr="00385949" w14:paraId="16CADD3F" w14:textId="77777777" w:rsidTr="00F614FC">
        <w:trPr>
          <w:cantSplit/>
          <w:jc w:val="center"/>
        </w:trPr>
        <w:tc>
          <w:tcPr>
            <w:tcW w:w="3240" w:type="dxa"/>
            <w:tcBorders>
              <w:top w:val="nil"/>
              <w:left w:val="nil"/>
              <w:bottom w:val="nil"/>
              <w:right w:val="nil"/>
            </w:tcBorders>
            <w:shd w:val="clear" w:color="auto" w:fill="FFFFFF"/>
          </w:tcPr>
          <w:p w14:paraId="04583C0C" w14:textId="77777777" w:rsidR="00F927DF" w:rsidRPr="00385949" w:rsidRDefault="00F927DF" w:rsidP="00F614FC">
            <w:pPr>
              <w:autoSpaceDE w:val="0"/>
              <w:autoSpaceDN w:val="0"/>
              <w:adjustRightInd w:val="0"/>
              <w:spacing w:after="0" w:line="240" w:lineRule="auto"/>
              <w:ind w:left="173" w:firstLine="173"/>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NYU</w:t>
            </w:r>
          </w:p>
        </w:tc>
        <w:tc>
          <w:tcPr>
            <w:tcW w:w="1595" w:type="dxa"/>
            <w:tcBorders>
              <w:top w:val="nil"/>
              <w:left w:val="nil"/>
              <w:bottom w:val="nil"/>
              <w:right w:val="nil"/>
            </w:tcBorders>
            <w:shd w:val="clear" w:color="auto" w:fill="FFFFFF"/>
          </w:tcPr>
          <w:p w14:paraId="480458CC"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7 (77.8%)</w:t>
            </w:r>
          </w:p>
        </w:tc>
        <w:tc>
          <w:tcPr>
            <w:tcW w:w="1594" w:type="dxa"/>
            <w:tcBorders>
              <w:top w:val="nil"/>
              <w:left w:val="nil"/>
              <w:bottom w:val="nil"/>
              <w:right w:val="nil"/>
            </w:tcBorders>
            <w:shd w:val="clear" w:color="auto" w:fill="FFFFFF"/>
          </w:tcPr>
          <w:p w14:paraId="69CF6C0A"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2 (22.2%)</w:t>
            </w:r>
          </w:p>
        </w:tc>
        <w:tc>
          <w:tcPr>
            <w:tcW w:w="1594" w:type="dxa"/>
            <w:tcBorders>
              <w:top w:val="nil"/>
              <w:left w:val="nil"/>
              <w:bottom w:val="nil"/>
              <w:right w:val="nil"/>
            </w:tcBorders>
            <w:shd w:val="clear" w:color="auto" w:fill="FFFFFF"/>
          </w:tcPr>
          <w:p w14:paraId="5570A4FB"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9 (1.2%)</w:t>
            </w:r>
          </w:p>
        </w:tc>
        <w:tc>
          <w:tcPr>
            <w:tcW w:w="1090" w:type="dxa"/>
            <w:tcBorders>
              <w:top w:val="nil"/>
              <w:left w:val="nil"/>
              <w:bottom w:val="nil"/>
              <w:right w:val="nil"/>
            </w:tcBorders>
            <w:shd w:val="clear" w:color="auto" w:fill="FFFFFF"/>
          </w:tcPr>
          <w:p w14:paraId="5D7619DB"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p>
        </w:tc>
      </w:tr>
      <w:tr w:rsidR="00F927DF" w:rsidRPr="00385949" w14:paraId="7FBE5C71" w14:textId="77777777" w:rsidTr="00F614FC">
        <w:trPr>
          <w:cantSplit/>
          <w:jc w:val="center"/>
        </w:trPr>
        <w:tc>
          <w:tcPr>
            <w:tcW w:w="3240" w:type="dxa"/>
            <w:tcBorders>
              <w:top w:val="nil"/>
              <w:left w:val="nil"/>
              <w:bottom w:val="nil"/>
              <w:right w:val="nil"/>
            </w:tcBorders>
            <w:shd w:val="clear" w:color="auto" w:fill="EFEFEF"/>
          </w:tcPr>
          <w:p w14:paraId="7F9688EF" w14:textId="77777777" w:rsidR="00F927DF" w:rsidRPr="00385949" w:rsidRDefault="00F927DF" w:rsidP="00F614FC">
            <w:pPr>
              <w:autoSpaceDE w:val="0"/>
              <w:autoSpaceDN w:val="0"/>
              <w:adjustRightInd w:val="0"/>
              <w:spacing w:after="0" w:line="240" w:lineRule="auto"/>
              <w:ind w:left="173" w:firstLine="173"/>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Rutgers</w:t>
            </w:r>
          </w:p>
        </w:tc>
        <w:tc>
          <w:tcPr>
            <w:tcW w:w="1595" w:type="dxa"/>
            <w:tcBorders>
              <w:top w:val="nil"/>
              <w:left w:val="nil"/>
              <w:bottom w:val="nil"/>
              <w:right w:val="nil"/>
            </w:tcBorders>
            <w:shd w:val="clear" w:color="auto" w:fill="EFEFEF"/>
          </w:tcPr>
          <w:p w14:paraId="4D102ADD"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31 (68.9%)</w:t>
            </w:r>
          </w:p>
        </w:tc>
        <w:tc>
          <w:tcPr>
            <w:tcW w:w="1594" w:type="dxa"/>
            <w:tcBorders>
              <w:top w:val="nil"/>
              <w:left w:val="nil"/>
              <w:bottom w:val="nil"/>
              <w:right w:val="nil"/>
            </w:tcBorders>
            <w:shd w:val="clear" w:color="auto" w:fill="EFEFEF"/>
          </w:tcPr>
          <w:p w14:paraId="00494BD0"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14 (31.1%)</w:t>
            </w:r>
          </w:p>
        </w:tc>
        <w:tc>
          <w:tcPr>
            <w:tcW w:w="1594" w:type="dxa"/>
            <w:tcBorders>
              <w:top w:val="nil"/>
              <w:left w:val="nil"/>
              <w:bottom w:val="nil"/>
              <w:right w:val="nil"/>
            </w:tcBorders>
            <w:shd w:val="clear" w:color="auto" w:fill="EFEFEF"/>
          </w:tcPr>
          <w:p w14:paraId="16EE10C7"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45 (6.1%)</w:t>
            </w:r>
          </w:p>
        </w:tc>
        <w:tc>
          <w:tcPr>
            <w:tcW w:w="1090" w:type="dxa"/>
            <w:tcBorders>
              <w:top w:val="nil"/>
              <w:left w:val="nil"/>
              <w:bottom w:val="nil"/>
              <w:right w:val="nil"/>
            </w:tcBorders>
            <w:shd w:val="clear" w:color="auto" w:fill="EFEFEF"/>
          </w:tcPr>
          <w:p w14:paraId="46066E32"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p>
        </w:tc>
      </w:tr>
      <w:tr w:rsidR="00F927DF" w:rsidRPr="00385949" w14:paraId="1547B4D8" w14:textId="77777777" w:rsidTr="00F614FC">
        <w:trPr>
          <w:cantSplit/>
          <w:jc w:val="center"/>
        </w:trPr>
        <w:tc>
          <w:tcPr>
            <w:tcW w:w="3240" w:type="dxa"/>
            <w:tcBorders>
              <w:top w:val="nil"/>
              <w:left w:val="nil"/>
              <w:bottom w:val="nil"/>
              <w:right w:val="nil"/>
            </w:tcBorders>
            <w:shd w:val="clear" w:color="auto" w:fill="FFFFFF"/>
          </w:tcPr>
          <w:p w14:paraId="44ED5D20" w14:textId="77777777" w:rsidR="00F927DF" w:rsidRPr="00385949" w:rsidRDefault="00F927DF" w:rsidP="00F614FC">
            <w:pPr>
              <w:autoSpaceDE w:val="0"/>
              <w:autoSpaceDN w:val="0"/>
              <w:adjustRightInd w:val="0"/>
              <w:spacing w:after="0" w:line="240" w:lineRule="auto"/>
              <w:ind w:left="173" w:firstLine="173"/>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Stanford</w:t>
            </w:r>
          </w:p>
        </w:tc>
        <w:tc>
          <w:tcPr>
            <w:tcW w:w="1595" w:type="dxa"/>
            <w:tcBorders>
              <w:top w:val="nil"/>
              <w:left w:val="nil"/>
              <w:bottom w:val="nil"/>
              <w:right w:val="nil"/>
            </w:tcBorders>
            <w:shd w:val="clear" w:color="auto" w:fill="FFFFFF"/>
          </w:tcPr>
          <w:p w14:paraId="611A7B0D"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110 (85.9%)</w:t>
            </w:r>
          </w:p>
        </w:tc>
        <w:tc>
          <w:tcPr>
            <w:tcW w:w="1594" w:type="dxa"/>
            <w:tcBorders>
              <w:top w:val="nil"/>
              <w:left w:val="nil"/>
              <w:bottom w:val="nil"/>
              <w:right w:val="nil"/>
            </w:tcBorders>
            <w:shd w:val="clear" w:color="auto" w:fill="FFFFFF"/>
          </w:tcPr>
          <w:p w14:paraId="4FEF872D"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18 (14.1%)</w:t>
            </w:r>
          </w:p>
        </w:tc>
        <w:tc>
          <w:tcPr>
            <w:tcW w:w="1594" w:type="dxa"/>
            <w:tcBorders>
              <w:top w:val="nil"/>
              <w:left w:val="nil"/>
              <w:bottom w:val="nil"/>
              <w:right w:val="nil"/>
            </w:tcBorders>
            <w:shd w:val="clear" w:color="auto" w:fill="FFFFFF"/>
          </w:tcPr>
          <w:p w14:paraId="3321A0F1"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128 (17.5%)</w:t>
            </w:r>
          </w:p>
        </w:tc>
        <w:tc>
          <w:tcPr>
            <w:tcW w:w="1090" w:type="dxa"/>
            <w:tcBorders>
              <w:top w:val="nil"/>
              <w:left w:val="nil"/>
              <w:bottom w:val="nil"/>
              <w:right w:val="nil"/>
            </w:tcBorders>
            <w:shd w:val="clear" w:color="auto" w:fill="FFFFFF"/>
          </w:tcPr>
          <w:p w14:paraId="2C27FDFE"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p>
        </w:tc>
      </w:tr>
      <w:tr w:rsidR="00F927DF" w:rsidRPr="00385949" w14:paraId="2BFC47E2" w14:textId="77777777" w:rsidTr="00F614FC">
        <w:trPr>
          <w:cantSplit/>
          <w:jc w:val="center"/>
        </w:trPr>
        <w:tc>
          <w:tcPr>
            <w:tcW w:w="3240" w:type="dxa"/>
            <w:tcBorders>
              <w:top w:val="nil"/>
              <w:left w:val="nil"/>
              <w:bottom w:val="nil"/>
              <w:right w:val="nil"/>
            </w:tcBorders>
            <w:shd w:val="clear" w:color="auto" w:fill="EFEFEF"/>
          </w:tcPr>
          <w:p w14:paraId="7AF18574" w14:textId="77777777" w:rsidR="00F927DF" w:rsidRPr="00385949" w:rsidRDefault="00F927DF" w:rsidP="00F614FC">
            <w:pPr>
              <w:autoSpaceDE w:val="0"/>
              <w:autoSpaceDN w:val="0"/>
              <w:adjustRightInd w:val="0"/>
              <w:spacing w:after="0" w:line="240" w:lineRule="auto"/>
              <w:ind w:left="173" w:firstLine="173"/>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UAB</w:t>
            </w:r>
          </w:p>
        </w:tc>
        <w:tc>
          <w:tcPr>
            <w:tcW w:w="1595" w:type="dxa"/>
            <w:tcBorders>
              <w:top w:val="nil"/>
              <w:left w:val="nil"/>
              <w:bottom w:val="nil"/>
              <w:right w:val="nil"/>
            </w:tcBorders>
            <w:shd w:val="clear" w:color="auto" w:fill="EFEFEF"/>
          </w:tcPr>
          <w:p w14:paraId="1E999BD1"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27 (61.4%)</w:t>
            </w:r>
          </w:p>
        </w:tc>
        <w:tc>
          <w:tcPr>
            <w:tcW w:w="1594" w:type="dxa"/>
            <w:tcBorders>
              <w:top w:val="nil"/>
              <w:left w:val="nil"/>
              <w:bottom w:val="nil"/>
              <w:right w:val="nil"/>
            </w:tcBorders>
            <w:shd w:val="clear" w:color="auto" w:fill="EFEFEF"/>
          </w:tcPr>
          <w:p w14:paraId="05FB7154"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17 (38.6%)</w:t>
            </w:r>
          </w:p>
        </w:tc>
        <w:tc>
          <w:tcPr>
            <w:tcW w:w="1594" w:type="dxa"/>
            <w:tcBorders>
              <w:top w:val="nil"/>
              <w:left w:val="nil"/>
              <w:bottom w:val="nil"/>
              <w:right w:val="nil"/>
            </w:tcBorders>
            <w:shd w:val="clear" w:color="auto" w:fill="EFEFEF"/>
          </w:tcPr>
          <w:p w14:paraId="1A37532C"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44 (6.0%)</w:t>
            </w:r>
          </w:p>
        </w:tc>
        <w:tc>
          <w:tcPr>
            <w:tcW w:w="1090" w:type="dxa"/>
            <w:tcBorders>
              <w:top w:val="nil"/>
              <w:left w:val="nil"/>
              <w:bottom w:val="nil"/>
              <w:right w:val="nil"/>
            </w:tcBorders>
            <w:shd w:val="clear" w:color="auto" w:fill="EFEFEF"/>
          </w:tcPr>
          <w:p w14:paraId="577E868A"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p>
        </w:tc>
      </w:tr>
      <w:tr w:rsidR="00F927DF" w:rsidRPr="00385949" w14:paraId="4210C238" w14:textId="77777777" w:rsidTr="00F614FC">
        <w:trPr>
          <w:cantSplit/>
          <w:jc w:val="center"/>
        </w:trPr>
        <w:tc>
          <w:tcPr>
            <w:tcW w:w="3240" w:type="dxa"/>
            <w:tcBorders>
              <w:top w:val="nil"/>
              <w:left w:val="nil"/>
              <w:bottom w:val="nil"/>
              <w:right w:val="nil"/>
            </w:tcBorders>
            <w:shd w:val="clear" w:color="auto" w:fill="FFFFFF"/>
          </w:tcPr>
          <w:p w14:paraId="085E6439" w14:textId="77777777" w:rsidR="00F927DF" w:rsidRPr="00385949" w:rsidRDefault="00F927DF" w:rsidP="00F614FC">
            <w:pPr>
              <w:autoSpaceDE w:val="0"/>
              <w:autoSpaceDN w:val="0"/>
              <w:adjustRightInd w:val="0"/>
              <w:spacing w:after="0" w:line="240" w:lineRule="auto"/>
              <w:ind w:left="173" w:firstLine="173"/>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UMN</w:t>
            </w:r>
          </w:p>
        </w:tc>
        <w:tc>
          <w:tcPr>
            <w:tcW w:w="1595" w:type="dxa"/>
            <w:tcBorders>
              <w:top w:val="nil"/>
              <w:left w:val="nil"/>
              <w:bottom w:val="nil"/>
              <w:right w:val="nil"/>
            </w:tcBorders>
            <w:shd w:val="clear" w:color="auto" w:fill="FFFFFF"/>
          </w:tcPr>
          <w:p w14:paraId="28379E3F"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29 (59.2%)</w:t>
            </w:r>
          </w:p>
        </w:tc>
        <w:tc>
          <w:tcPr>
            <w:tcW w:w="1594" w:type="dxa"/>
            <w:tcBorders>
              <w:top w:val="nil"/>
              <w:left w:val="nil"/>
              <w:bottom w:val="nil"/>
              <w:right w:val="nil"/>
            </w:tcBorders>
            <w:shd w:val="clear" w:color="auto" w:fill="FFFFFF"/>
          </w:tcPr>
          <w:p w14:paraId="78BEB1EC"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20 (40.8%)</w:t>
            </w:r>
          </w:p>
        </w:tc>
        <w:tc>
          <w:tcPr>
            <w:tcW w:w="1594" w:type="dxa"/>
            <w:tcBorders>
              <w:top w:val="nil"/>
              <w:left w:val="nil"/>
              <w:bottom w:val="nil"/>
              <w:right w:val="nil"/>
            </w:tcBorders>
            <w:shd w:val="clear" w:color="auto" w:fill="FFFFFF"/>
          </w:tcPr>
          <w:p w14:paraId="46BC9F2C"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49 (6.7%)</w:t>
            </w:r>
          </w:p>
        </w:tc>
        <w:tc>
          <w:tcPr>
            <w:tcW w:w="1090" w:type="dxa"/>
            <w:tcBorders>
              <w:top w:val="nil"/>
              <w:left w:val="nil"/>
              <w:bottom w:val="nil"/>
              <w:right w:val="nil"/>
            </w:tcBorders>
            <w:shd w:val="clear" w:color="auto" w:fill="FFFFFF"/>
          </w:tcPr>
          <w:p w14:paraId="4D333F50"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p>
        </w:tc>
      </w:tr>
      <w:tr w:rsidR="00F927DF" w:rsidRPr="00385949" w14:paraId="3D8330F4" w14:textId="77777777" w:rsidTr="00F614FC">
        <w:trPr>
          <w:cantSplit/>
          <w:jc w:val="center"/>
        </w:trPr>
        <w:tc>
          <w:tcPr>
            <w:tcW w:w="3240" w:type="dxa"/>
            <w:tcBorders>
              <w:top w:val="nil"/>
              <w:left w:val="nil"/>
              <w:bottom w:val="nil"/>
              <w:right w:val="nil"/>
            </w:tcBorders>
            <w:shd w:val="clear" w:color="auto" w:fill="EFEFEF"/>
          </w:tcPr>
          <w:p w14:paraId="17F7B63D" w14:textId="77777777" w:rsidR="00F927DF" w:rsidRPr="00385949" w:rsidRDefault="00F927DF" w:rsidP="00F614FC">
            <w:pPr>
              <w:autoSpaceDE w:val="0"/>
              <w:autoSpaceDN w:val="0"/>
              <w:adjustRightInd w:val="0"/>
              <w:spacing w:after="0" w:line="240" w:lineRule="auto"/>
              <w:ind w:left="173" w:firstLine="173"/>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UPMC</w:t>
            </w:r>
          </w:p>
        </w:tc>
        <w:tc>
          <w:tcPr>
            <w:tcW w:w="1595" w:type="dxa"/>
            <w:tcBorders>
              <w:top w:val="nil"/>
              <w:left w:val="nil"/>
              <w:bottom w:val="nil"/>
              <w:right w:val="nil"/>
            </w:tcBorders>
            <w:shd w:val="clear" w:color="auto" w:fill="EFEFEF"/>
          </w:tcPr>
          <w:p w14:paraId="1516F81D"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37 (88.1%)</w:t>
            </w:r>
          </w:p>
        </w:tc>
        <w:tc>
          <w:tcPr>
            <w:tcW w:w="1594" w:type="dxa"/>
            <w:tcBorders>
              <w:top w:val="nil"/>
              <w:left w:val="nil"/>
              <w:bottom w:val="nil"/>
              <w:right w:val="nil"/>
            </w:tcBorders>
            <w:shd w:val="clear" w:color="auto" w:fill="EFEFEF"/>
          </w:tcPr>
          <w:p w14:paraId="2D391B9F"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5 (11.9%)</w:t>
            </w:r>
          </w:p>
        </w:tc>
        <w:tc>
          <w:tcPr>
            <w:tcW w:w="1594" w:type="dxa"/>
            <w:tcBorders>
              <w:top w:val="nil"/>
              <w:left w:val="nil"/>
              <w:bottom w:val="nil"/>
              <w:right w:val="nil"/>
            </w:tcBorders>
            <w:shd w:val="clear" w:color="auto" w:fill="EFEFEF"/>
          </w:tcPr>
          <w:p w14:paraId="02E56740"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42 (5.7%)</w:t>
            </w:r>
          </w:p>
        </w:tc>
        <w:tc>
          <w:tcPr>
            <w:tcW w:w="1090" w:type="dxa"/>
            <w:tcBorders>
              <w:top w:val="nil"/>
              <w:left w:val="nil"/>
              <w:bottom w:val="nil"/>
              <w:right w:val="nil"/>
            </w:tcBorders>
            <w:shd w:val="clear" w:color="auto" w:fill="EFEFEF"/>
          </w:tcPr>
          <w:p w14:paraId="35B6B67A"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p>
        </w:tc>
      </w:tr>
      <w:tr w:rsidR="00F927DF" w:rsidRPr="00385949" w14:paraId="0F8CE062" w14:textId="77777777" w:rsidTr="00F614FC">
        <w:trPr>
          <w:cantSplit/>
          <w:jc w:val="center"/>
        </w:trPr>
        <w:tc>
          <w:tcPr>
            <w:tcW w:w="3240" w:type="dxa"/>
            <w:tcBorders>
              <w:top w:val="nil"/>
              <w:left w:val="nil"/>
              <w:bottom w:val="nil"/>
              <w:right w:val="nil"/>
            </w:tcBorders>
            <w:shd w:val="clear" w:color="auto" w:fill="FFFFFF"/>
          </w:tcPr>
          <w:p w14:paraId="6CF9C7D2" w14:textId="77777777" w:rsidR="00F927DF" w:rsidRPr="00385949" w:rsidRDefault="00F927DF" w:rsidP="00F614FC">
            <w:pPr>
              <w:autoSpaceDE w:val="0"/>
              <w:autoSpaceDN w:val="0"/>
              <w:adjustRightInd w:val="0"/>
              <w:spacing w:after="0" w:line="240" w:lineRule="auto"/>
              <w:ind w:left="173" w:firstLine="173"/>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UWCC</w:t>
            </w:r>
          </w:p>
        </w:tc>
        <w:tc>
          <w:tcPr>
            <w:tcW w:w="1595" w:type="dxa"/>
            <w:tcBorders>
              <w:top w:val="nil"/>
              <w:left w:val="nil"/>
              <w:bottom w:val="nil"/>
              <w:right w:val="nil"/>
            </w:tcBorders>
            <w:shd w:val="clear" w:color="auto" w:fill="FFFFFF"/>
          </w:tcPr>
          <w:p w14:paraId="4573B28F"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22 (91.7%)</w:t>
            </w:r>
          </w:p>
        </w:tc>
        <w:tc>
          <w:tcPr>
            <w:tcW w:w="1594" w:type="dxa"/>
            <w:tcBorders>
              <w:top w:val="nil"/>
              <w:left w:val="nil"/>
              <w:bottom w:val="nil"/>
              <w:right w:val="nil"/>
            </w:tcBorders>
            <w:shd w:val="clear" w:color="auto" w:fill="FFFFFF"/>
          </w:tcPr>
          <w:p w14:paraId="0295E7C0"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2 (8.3%)</w:t>
            </w:r>
          </w:p>
        </w:tc>
        <w:tc>
          <w:tcPr>
            <w:tcW w:w="1594" w:type="dxa"/>
            <w:tcBorders>
              <w:top w:val="nil"/>
              <w:left w:val="nil"/>
              <w:bottom w:val="nil"/>
              <w:right w:val="nil"/>
            </w:tcBorders>
            <w:shd w:val="clear" w:color="auto" w:fill="FFFFFF"/>
          </w:tcPr>
          <w:p w14:paraId="4BE87562"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24 (3.3%)</w:t>
            </w:r>
          </w:p>
        </w:tc>
        <w:tc>
          <w:tcPr>
            <w:tcW w:w="1090" w:type="dxa"/>
            <w:tcBorders>
              <w:top w:val="nil"/>
              <w:left w:val="nil"/>
              <w:bottom w:val="nil"/>
              <w:right w:val="nil"/>
            </w:tcBorders>
            <w:shd w:val="clear" w:color="auto" w:fill="FFFFFF"/>
          </w:tcPr>
          <w:p w14:paraId="2FEC1921"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p>
        </w:tc>
      </w:tr>
      <w:tr w:rsidR="00F927DF" w:rsidRPr="00385949" w14:paraId="02E8BC07" w14:textId="77777777" w:rsidTr="00F614FC">
        <w:trPr>
          <w:cantSplit/>
          <w:jc w:val="center"/>
        </w:trPr>
        <w:tc>
          <w:tcPr>
            <w:tcW w:w="3240" w:type="dxa"/>
            <w:tcBorders>
              <w:top w:val="nil"/>
              <w:left w:val="nil"/>
              <w:bottom w:val="nil"/>
              <w:right w:val="nil"/>
            </w:tcBorders>
            <w:shd w:val="clear" w:color="auto" w:fill="EFEFEF"/>
          </w:tcPr>
          <w:p w14:paraId="2A88B777" w14:textId="77777777" w:rsidR="00F927DF" w:rsidRPr="00385949" w:rsidRDefault="00F927DF" w:rsidP="00F614FC">
            <w:pPr>
              <w:autoSpaceDE w:val="0"/>
              <w:autoSpaceDN w:val="0"/>
              <w:adjustRightInd w:val="0"/>
              <w:spacing w:after="0" w:line="240" w:lineRule="auto"/>
              <w:ind w:left="173" w:firstLine="173"/>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Utah</w:t>
            </w:r>
          </w:p>
        </w:tc>
        <w:tc>
          <w:tcPr>
            <w:tcW w:w="1595" w:type="dxa"/>
            <w:tcBorders>
              <w:top w:val="nil"/>
              <w:left w:val="nil"/>
              <w:bottom w:val="nil"/>
              <w:right w:val="nil"/>
            </w:tcBorders>
            <w:shd w:val="clear" w:color="auto" w:fill="EFEFEF"/>
          </w:tcPr>
          <w:p w14:paraId="59F31BFB"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7 (35.0%)</w:t>
            </w:r>
          </w:p>
        </w:tc>
        <w:tc>
          <w:tcPr>
            <w:tcW w:w="1594" w:type="dxa"/>
            <w:tcBorders>
              <w:top w:val="nil"/>
              <w:left w:val="nil"/>
              <w:bottom w:val="nil"/>
              <w:right w:val="nil"/>
            </w:tcBorders>
            <w:shd w:val="clear" w:color="auto" w:fill="EFEFEF"/>
          </w:tcPr>
          <w:p w14:paraId="5E855E86"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13 (65.0%)</w:t>
            </w:r>
          </w:p>
        </w:tc>
        <w:tc>
          <w:tcPr>
            <w:tcW w:w="1594" w:type="dxa"/>
            <w:tcBorders>
              <w:top w:val="nil"/>
              <w:left w:val="nil"/>
              <w:bottom w:val="nil"/>
              <w:right w:val="nil"/>
            </w:tcBorders>
            <w:shd w:val="clear" w:color="auto" w:fill="EFEFEF"/>
          </w:tcPr>
          <w:p w14:paraId="3D881B90"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20 (2.7%)</w:t>
            </w:r>
          </w:p>
        </w:tc>
        <w:tc>
          <w:tcPr>
            <w:tcW w:w="1090" w:type="dxa"/>
            <w:tcBorders>
              <w:top w:val="nil"/>
              <w:left w:val="nil"/>
              <w:bottom w:val="nil"/>
              <w:right w:val="nil"/>
            </w:tcBorders>
            <w:shd w:val="clear" w:color="auto" w:fill="EFEFEF"/>
          </w:tcPr>
          <w:p w14:paraId="299637D5" w14:textId="77777777" w:rsidR="00F927DF" w:rsidRPr="00385949" w:rsidRDefault="00F927DF" w:rsidP="00F614FC">
            <w:pPr>
              <w:autoSpaceDE w:val="0"/>
              <w:autoSpaceDN w:val="0"/>
              <w:adjustRightInd w:val="0"/>
              <w:spacing w:after="0" w:line="240" w:lineRule="auto"/>
              <w:jc w:val="center"/>
              <w:rPr>
                <w:rFonts w:ascii="Arial" w:eastAsia="Times New Roman" w:hAnsi="Arial" w:cs="Arial"/>
                <w:color w:val="000000"/>
                <w:kern w:val="0"/>
                <w:sz w:val="20"/>
                <w:szCs w:val="20"/>
              </w:rPr>
            </w:pPr>
          </w:p>
        </w:tc>
      </w:tr>
      <w:tr w:rsidR="00F927DF" w:rsidRPr="00385949" w14:paraId="15CD7351" w14:textId="77777777" w:rsidTr="00F614FC">
        <w:trPr>
          <w:cantSplit/>
          <w:jc w:val="center"/>
        </w:trPr>
        <w:tc>
          <w:tcPr>
            <w:tcW w:w="3240" w:type="dxa"/>
            <w:tcBorders>
              <w:top w:val="nil"/>
              <w:left w:val="nil"/>
              <w:bottom w:val="nil"/>
              <w:right w:val="nil"/>
            </w:tcBorders>
            <w:shd w:val="clear" w:color="auto" w:fill="FFFFFF"/>
          </w:tcPr>
          <w:p w14:paraId="3581FD42" w14:textId="77777777" w:rsidR="00F927DF" w:rsidRPr="00385949" w:rsidRDefault="00F927DF" w:rsidP="00F614FC">
            <w:pPr>
              <w:keepNext/>
              <w:autoSpaceDE w:val="0"/>
              <w:autoSpaceDN w:val="0"/>
              <w:adjustRightInd w:val="0"/>
              <w:spacing w:after="0" w:line="240" w:lineRule="auto"/>
              <w:ind w:left="173" w:firstLine="173"/>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WashU</w:t>
            </w:r>
          </w:p>
        </w:tc>
        <w:tc>
          <w:tcPr>
            <w:tcW w:w="1595" w:type="dxa"/>
            <w:tcBorders>
              <w:top w:val="nil"/>
              <w:left w:val="nil"/>
              <w:bottom w:val="nil"/>
              <w:right w:val="nil"/>
            </w:tcBorders>
            <w:shd w:val="clear" w:color="auto" w:fill="FFFFFF"/>
          </w:tcPr>
          <w:p w14:paraId="56DDA6F7" w14:textId="77777777" w:rsidR="00F927DF" w:rsidRPr="00385949" w:rsidRDefault="00F927DF" w:rsidP="00F614FC">
            <w:pPr>
              <w:keepNext/>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41 (80.4%)</w:t>
            </w:r>
          </w:p>
        </w:tc>
        <w:tc>
          <w:tcPr>
            <w:tcW w:w="1594" w:type="dxa"/>
            <w:tcBorders>
              <w:top w:val="nil"/>
              <w:left w:val="nil"/>
              <w:bottom w:val="nil"/>
              <w:right w:val="nil"/>
            </w:tcBorders>
            <w:shd w:val="clear" w:color="auto" w:fill="FFFFFF"/>
          </w:tcPr>
          <w:p w14:paraId="105B4858" w14:textId="77777777" w:rsidR="00F927DF" w:rsidRPr="00385949" w:rsidRDefault="00F927DF" w:rsidP="00F614FC">
            <w:pPr>
              <w:keepNext/>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10 (19.6%)</w:t>
            </w:r>
          </w:p>
        </w:tc>
        <w:tc>
          <w:tcPr>
            <w:tcW w:w="1594" w:type="dxa"/>
            <w:tcBorders>
              <w:top w:val="nil"/>
              <w:left w:val="nil"/>
              <w:bottom w:val="nil"/>
              <w:right w:val="nil"/>
            </w:tcBorders>
            <w:shd w:val="clear" w:color="auto" w:fill="FFFFFF"/>
          </w:tcPr>
          <w:p w14:paraId="18F3200D" w14:textId="77777777" w:rsidR="00F927DF" w:rsidRPr="00385949" w:rsidRDefault="00F927DF" w:rsidP="00F614FC">
            <w:pPr>
              <w:keepNext/>
              <w:autoSpaceDE w:val="0"/>
              <w:autoSpaceDN w:val="0"/>
              <w:adjustRightInd w:val="0"/>
              <w:spacing w:after="0" w:line="240" w:lineRule="auto"/>
              <w:jc w:val="center"/>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rPr>
              <w:t>51 (7.0%)</w:t>
            </w:r>
          </w:p>
        </w:tc>
        <w:tc>
          <w:tcPr>
            <w:tcW w:w="1090" w:type="dxa"/>
            <w:tcBorders>
              <w:top w:val="nil"/>
              <w:left w:val="nil"/>
              <w:bottom w:val="nil"/>
              <w:right w:val="nil"/>
            </w:tcBorders>
            <w:shd w:val="clear" w:color="auto" w:fill="FFFFFF"/>
          </w:tcPr>
          <w:p w14:paraId="42216285" w14:textId="77777777" w:rsidR="00F927DF" w:rsidRPr="00385949" w:rsidRDefault="00F927DF" w:rsidP="00F614FC">
            <w:pPr>
              <w:keepNext/>
              <w:autoSpaceDE w:val="0"/>
              <w:autoSpaceDN w:val="0"/>
              <w:adjustRightInd w:val="0"/>
              <w:spacing w:after="0" w:line="240" w:lineRule="auto"/>
              <w:jc w:val="center"/>
              <w:rPr>
                <w:rFonts w:ascii="Arial" w:eastAsia="Times New Roman" w:hAnsi="Arial" w:cs="Arial"/>
                <w:color w:val="000000"/>
                <w:kern w:val="0"/>
                <w:sz w:val="20"/>
                <w:szCs w:val="20"/>
              </w:rPr>
            </w:pPr>
          </w:p>
        </w:tc>
      </w:tr>
      <w:tr w:rsidR="00F927DF" w:rsidRPr="00385949" w14:paraId="3E62DF3E" w14:textId="77777777" w:rsidTr="00F614FC">
        <w:trPr>
          <w:cantSplit/>
          <w:jc w:val="center"/>
        </w:trPr>
        <w:tc>
          <w:tcPr>
            <w:tcW w:w="9113" w:type="dxa"/>
            <w:gridSpan w:val="5"/>
            <w:tcBorders>
              <w:top w:val="single" w:sz="4" w:space="0" w:color="000000"/>
              <w:left w:val="nil"/>
              <w:bottom w:val="nil"/>
              <w:right w:val="nil"/>
            </w:tcBorders>
            <w:shd w:val="clear" w:color="auto" w:fill="FFFFFF"/>
          </w:tcPr>
          <w:p w14:paraId="05CDAC97" w14:textId="77777777" w:rsidR="00F927DF" w:rsidRPr="00385949" w:rsidRDefault="00F927DF" w:rsidP="00F614FC">
            <w:pPr>
              <w:autoSpaceDE w:val="0"/>
              <w:autoSpaceDN w:val="0"/>
              <w:adjustRightInd w:val="0"/>
              <w:spacing w:after="0" w:line="240" w:lineRule="auto"/>
              <w:ind w:left="86"/>
              <w:rPr>
                <w:rFonts w:ascii="Arial" w:eastAsia="Times New Roman" w:hAnsi="Arial" w:cs="Arial"/>
                <w:color w:val="000000"/>
                <w:kern w:val="0"/>
                <w:sz w:val="20"/>
                <w:szCs w:val="20"/>
              </w:rPr>
            </w:pPr>
            <w:r w:rsidRPr="00385949">
              <w:rPr>
                <w:rFonts w:ascii="Arial" w:eastAsia="Times New Roman" w:hAnsi="Arial" w:cs="Arial"/>
                <w:color w:val="000000"/>
                <w:kern w:val="0"/>
                <w:sz w:val="20"/>
                <w:szCs w:val="20"/>
                <w:vertAlign w:val="superscript"/>
              </w:rPr>
              <w:t>1</w:t>
            </w:r>
            <w:r w:rsidRPr="00385949">
              <w:rPr>
                <w:rFonts w:ascii="Arial" w:eastAsia="Times New Roman" w:hAnsi="Arial" w:cs="Arial"/>
                <w:color w:val="000000"/>
                <w:kern w:val="0"/>
                <w:sz w:val="20"/>
                <w:szCs w:val="20"/>
              </w:rPr>
              <w:t>Chi-Square p-value;</w:t>
            </w:r>
          </w:p>
        </w:tc>
      </w:tr>
    </w:tbl>
    <w:p w14:paraId="5E39EE96" w14:textId="77777777" w:rsidR="00F927DF" w:rsidRDefault="00F927DF"/>
    <w:p w14:paraId="1A776360" w14:textId="77777777" w:rsidR="00F927DF" w:rsidRDefault="00F927DF" w:rsidP="00F927DF">
      <w:r>
        <w:t>Abbreviations: ASCT, autologous stem cell transplant, BV, brentuximab vedotin, CCF, Cleveland clinic foundation, Czech, Czech Republic, NYU, New York University, Mayo, Mayo Clinic, UAB; University of Alabama Birmingham, UMN, University of Minnesota, UPMC, University of Pittsburg Medical Center, UWCC, University of Wisconsin Cancer Center, Utah, University of Utah, N; numbers, %, percentages.</w:t>
      </w:r>
    </w:p>
    <w:p w14:paraId="166030DB" w14:textId="77777777" w:rsidR="00F927DF" w:rsidRDefault="00F927DF"/>
    <w:p w14:paraId="15AB3B38" w14:textId="77777777" w:rsidR="00F77986" w:rsidRDefault="00F77986"/>
    <w:p w14:paraId="059EFF35" w14:textId="77777777" w:rsidR="00F77986" w:rsidRDefault="00F77986"/>
    <w:p w14:paraId="0F1F625A" w14:textId="77777777" w:rsidR="00F77986" w:rsidRDefault="00F77986"/>
    <w:p w14:paraId="7E675AA8" w14:textId="77777777" w:rsidR="00F77986" w:rsidRDefault="00F77986"/>
    <w:p w14:paraId="520F3703" w14:textId="77777777" w:rsidR="00F77986" w:rsidRDefault="00F77986"/>
    <w:p w14:paraId="1D83887C" w14:textId="77777777" w:rsidR="00F77986" w:rsidRDefault="00F77986"/>
    <w:p w14:paraId="5CE6D34E" w14:textId="77777777" w:rsidR="00F77986" w:rsidRDefault="00F77986"/>
    <w:p w14:paraId="5EC7452A" w14:textId="77777777" w:rsidR="00F77986" w:rsidRDefault="00F77986"/>
    <w:p w14:paraId="50419CB4" w14:textId="77777777" w:rsidR="00F77986" w:rsidRDefault="00F77986"/>
    <w:p w14:paraId="3BF3108F" w14:textId="77777777" w:rsidR="00F77986" w:rsidRDefault="00F77986"/>
    <w:p w14:paraId="0C147F86" w14:textId="67FD03B4" w:rsidR="006A6196" w:rsidRDefault="00D43F83">
      <w:r>
        <w:lastRenderedPageBreak/>
        <w:t>Supplementary figures:</w:t>
      </w:r>
    </w:p>
    <w:p w14:paraId="5694E19B" w14:textId="17CC2B39" w:rsidR="00D43F83" w:rsidRDefault="00287508">
      <w:r w:rsidRPr="00287508">
        <w:rPr>
          <w:noProof/>
        </w:rPr>
        <w:drawing>
          <wp:inline distT="0" distB="0" distL="0" distR="0" wp14:anchorId="0EA2E175" wp14:editId="3978BF1A">
            <wp:extent cx="5943600" cy="44761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4476115"/>
                    </a:xfrm>
                    <a:prstGeom prst="rect">
                      <a:avLst/>
                    </a:prstGeom>
                  </pic:spPr>
                </pic:pic>
              </a:graphicData>
            </a:graphic>
          </wp:inline>
        </w:drawing>
      </w:r>
    </w:p>
    <w:p w14:paraId="36F9565C" w14:textId="5353E3FF" w:rsidR="006A3BAE" w:rsidRDefault="00D43F83">
      <w:r>
        <w:t>Supplementary Figure 1: Progression free survival by Country</w:t>
      </w:r>
    </w:p>
    <w:p w14:paraId="4B8B4D74" w14:textId="1BFEFF16" w:rsidR="00D43F83" w:rsidRDefault="00D43F83">
      <w:r>
        <w:t>Abbreviations: PFS, progression free survival, US; the United States, Czech; The Czech Republic, HR; hazard ratio.</w:t>
      </w:r>
    </w:p>
    <w:p w14:paraId="4E1F28D1" w14:textId="77777777" w:rsidR="00D43F83" w:rsidRDefault="00D43F83"/>
    <w:p w14:paraId="3D04DBA2" w14:textId="0CE30007" w:rsidR="00D43F83" w:rsidRDefault="00287508" w:rsidP="00D43F83">
      <w:pPr>
        <w:rPr>
          <w:noProof/>
        </w:rPr>
      </w:pPr>
      <w:r w:rsidRPr="00287508">
        <w:rPr>
          <w:noProof/>
        </w:rPr>
        <w:lastRenderedPageBreak/>
        <w:drawing>
          <wp:inline distT="0" distB="0" distL="0" distR="0" wp14:anchorId="7B84D1D9" wp14:editId="059F4F9B">
            <wp:extent cx="5943600" cy="43789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378960"/>
                    </a:xfrm>
                    <a:prstGeom prst="rect">
                      <a:avLst/>
                    </a:prstGeom>
                  </pic:spPr>
                </pic:pic>
              </a:graphicData>
            </a:graphic>
          </wp:inline>
        </w:drawing>
      </w:r>
    </w:p>
    <w:p w14:paraId="61541620" w14:textId="789DACA9" w:rsidR="00D43F83" w:rsidRDefault="00D43F83" w:rsidP="00D43F83">
      <w:pPr>
        <w:rPr>
          <w:noProof/>
        </w:rPr>
      </w:pPr>
      <w:r>
        <w:rPr>
          <w:noProof/>
        </w:rPr>
        <w:t>Supplementary Figure 2: Overall Survival by Country</w:t>
      </w:r>
    </w:p>
    <w:p w14:paraId="680DEDB2" w14:textId="5D1301FA" w:rsidR="00D43F83" w:rsidRDefault="00D43F83" w:rsidP="00D43F83">
      <w:r>
        <w:rPr>
          <w:noProof/>
        </w:rPr>
        <w:t xml:space="preserve">Abbreviations: </w:t>
      </w:r>
      <w:r>
        <w:t>OS, Overall survival, US; the United States, Czech; The Czech Republic, HR; hazard ratio.</w:t>
      </w:r>
    </w:p>
    <w:p w14:paraId="1535F445" w14:textId="7964B2C2" w:rsidR="00D43F83" w:rsidRDefault="00D43F83" w:rsidP="00D43F83">
      <w:pPr>
        <w:rPr>
          <w:noProof/>
        </w:rPr>
      </w:pPr>
    </w:p>
    <w:p w14:paraId="53514BE3" w14:textId="75206A70" w:rsidR="00D43F83" w:rsidRDefault="00D43F83" w:rsidP="00D43F83">
      <w:pPr>
        <w:rPr>
          <w:noProof/>
        </w:rPr>
      </w:pPr>
      <w:r w:rsidRPr="00D43F83">
        <w:rPr>
          <w:noProof/>
        </w:rPr>
        <w:lastRenderedPageBreak/>
        <w:drawing>
          <wp:inline distT="0" distB="0" distL="0" distR="0" wp14:anchorId="77A0530E" wp14:editId="37954BF3">
            <wp:extent cx="5943600" cy="43103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310380"/>
                    </a:xfrm>
                    <a:prstGeom prst="rect">
                      <a:avLst/>
                    </a:prstGeom>
                  </pic:spPr>
                </pic:pic>
              </a:graphicData>
            </a:graphic>
          </wp:inline>
        </w:drawing>
      </w:r>
    </w:p>
    <w:p w14:paraId="6B0663E9" w14:textId="77777777" w:rsidR="00D43F83" w:rsidRDefault="00D43F83" w:rsidP="00D43F83">
      <w:pPr>
        <w:rPr>
          <w:noProof/>
        </w:rPr>
      </w:pPr>
    </w:p>
    <w:p w14:paraId="6F409382" w14:textId="16C2D3CB" w:rsidR="00D43F83" w:rsidRDefault="00D43F83" w:rsidP="00D43F83">
      <w:r>
        <w:t xml:space="preserve">Supplementary Figure 3: </w:t>
      </w:r>
      <w:r w:rsidRPr="00D43F83">
        <w:t xml:space="preserve">Overall survival by BV </w:t>
      </w:r>
      <w:r w:rsidR="002067E2">
        <w:t>maintenance</w:t>
      </w:r>
      <w:r w:rsidRPr="00D43F83">
        <w:t xml:space="preserve"> in the subgroup of CMR</w:t>
      </w:r>
    </w:p>
    <w:p w14:paraId="3DA207E7" w14:textId="0085A328" w:rsidR="00D43F83" w:rsidRDefault="00D43F83" w:rsidP="00D43F83">
      <w:r>
        <w:t>Abbreviations: CMR; complete metabolic response, BV; brentuximab vedotin, ASCT, autologous stem cell transplant,HR; Hazard Ratio, CI</w:t>
      </w:r>
      <w:r w:rsidRPr="00D43F83">
        <w:rPr>
          <w:vertAlign w:val="subscript"/>
        </w:rPr>
        <w:t>95</w:t>
      </w:r>
      <w:r>
        <w:t>: 95% confidence interval.</w:t>
      </w:r>
    </w:p>
    <w:p w14:paraId="662BC789" w14:textId="77777777" w:rsidR="00D43F83" w:rsidRDefault="00D43F83" w:rsidP="00D43F83"/>
    <w:p w14:paraId="72208E55" w14:textId="22EF5F7D" w:rsidR="00D43F83" w:rsidRDefault="00D7436B" w:rsidP="00D43F83">
      <w:r w:rsidRPr="00D7436B">
        <w:rPr>
          <w:noProof/>
        </w:rPr>
        <w:lastRenderedPageBreak/>
        <w:drawing>
          <wp:inline distT="0" distB="0" distL="0" distR="0" wp14:anchorId="542EF961" wp14:editId="4AAE3EEC">
            <wp:extent cx="5943600" cy="36087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608705"/>
                    </a:xfrm>
                    <a:prstGeom prst="rect">
                      <a:avLst/>
                    </a:prstGeom>
                  </pic:spPr>
                </pic:pic>
              </a:graphicData>
            </a:graphic>
          </wp:inline>
        </w:drawing>
      </w:r>
    </w:p>
    <w:p w14:paraId="48BCD72C" w14:textId="7ED2768C" w:rsidR="00D7436B" w:rsidRDefault="00D7436B" w:rsidP="00D7436B">
      <w:r>
        <w:t xml:space="preserve">Supplementary Figure </w:t>
      </w:r>
      <w:r w:rsidR="00287508">
        <w:t>4</w:t>
      </w:r>
      <w:r>
        <w:t xml:space="preserve">: </w:t>
      </w:r>
      <w:r w:rsidRPr="00D43F83">
        <w:t xml:space="preserve">Overall survival by BV </w:t>
      </w:r>
      <w:r w:rsidR="002067E2">
        <w:t>maintenance</w:t>
      </w:r>
      <w:r w:rsidRPr="00D43F83">
        <w:t xml:space="preserve"> in the subgroup of </w:t>
      </w:r>
      <w:r>
        <w:t>P</w:t>
      </w:r>
      <w:r w:rsidRPr="00D43F83">
        <w:t>MR</w:t>
      </w:r>
    </w:p>
    <w:p w14:paraId="0F977E11" w14:textId="5CCD5368" w:rsidR="00D7436B" w:rsidRDefault="00D7436B" w:rsidP="00D7436B">
      <w:r>
        <w:t xml:space="preserve">Abbreviations: </w:t>
      </w:r>
      <w:r w:rsidR="00287508">
        <w:t>P</w:t>
      </w:r>
      <w:r>
        <w:t xml:space="preserve">MR; </w:t>
      </w:r>
      <w:r w:rsidR="00287508">
        <w:t>partial</w:t>
      </w:r>
      <w:r>
        <w:t xml:space="preserve"> metabolic response, BV; brentuximab vedotin, ASCT, autologous stem cell transplant,HR; Hazard Ratio, CI</w:t>
      </w:r>
      <w:r w:rsidRPr="00D43F83">
        <w:rPr>
          <w:vertAlign w:val="subscript"/>
        </w:rPr>
        <w:t>95</w:t>
      </w:r>
      <w:r>
        <w:t>: 95% confidence interval.</w:t>
      </w:r>
    </w:p>
    <w:p w14:paraId="41CC05CD" w14:textId="77777777" w:rsidR="00D7436B" w:rsidRDefault="00D7436B" w:rsidP="00D7436B"/>
    <w:p w14:paraId="1A90F60B" w14:textId="77777777" w:rsidR="00D7436B" w:rsidRDefault="00D7436B" w:rsidP="00D7436B"/>
    <w:p w14:paraId="7A87F7EA" w14:textId="51F43949" w:rsidR="00D43F83" w:rsidRDefault="00D7436B" w:rsidP="00D43F83">
      <w:r w:rsidRPr="00D7436B">
        <w:rPr>
          <w:noProof/>
        </w:rPr>
        <w:lastRenderedPageBreak/>
        <w:drawing>
          <wp:inline distT="0" distB="0" distL="0" distR="0" wp14:anchorId="21467D6A" wp14:editId="354A6D37">
            <wp:extent cx="5943600" cy="35458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545840"/>
                    </a:xfrm>
                    <a:prstGeom prst="rect">
                      <a:avLst/>
                    </a:prstGeom>
                  </pic:spPr>
                </pic:pic>
              </a:graphicData>
            </a:graphic>
          </wp:inline>
        </w:drawing>
      </w:r>
    </w:p>
    <w:p w14:paraId="05B45BEC" w14:textId="360098C2" w:rsidR="00D7436B" w:rsidRDefault="00D7436B" w:rsidP="00D7436B">
      <w:r>
        <w:t>Supplementary Figure 5: Progression free survival</w:t>
      </w:r>
      <w:r w:rsidRPr="00D43F83">
        <w:t xml:space="preserve"> by BV </w:t>
      </w:r>
      <w:r w:rsidR="002067E2">
        <w:t>maintenance</w:t>
      </w:r>
      <w:r w:rsidRPr="00D43F83">
        <w:t xml:space="preserve"> in the subgroup of </w:t>
      </w:r>
      <w:r w:rsidR="00287508">
        <w:t>P</w:t>
      </w:r>
      <w:r w:rsidR="00287508" w:rsidRPr="00D43F83">
        <w:t>MR</w:t>
      </w:r>
      <w:r w:rsidR="00287508">
        <w:t xml:space="preserve"> in</w:t>
      </w:r>
      <w:r>
        <w:t xml:space="preserve"> post-FDA approval era.</w:t>
      </w:r>
    </w:p>
    <w:p w14:paraId="73372E72" w14:textId="65D7E345" w:rsidR="00D7436B" w:rsidRDefault="00D7436B" w:rsidP="00D7436B">
      <w:r>
        <w:t>Abbreviations: PMR; complete metabolic response, BV; brentuximab vedotin, ASCT, autologous stem cell transplant,</w:t>
      </w:r>
      <w:r w:rsidR="00287508">
        <w:t xml:space="preserve"> </w:t>
      </w:r>
      <w:r>
        <w:t>HR; Hazard Ratio, CI</w:t>
      </w:r>
      <w:r w:rsidRPr="00D43F83">
        <w:rPr>
          <w:vertAlign w:val="subscript"/>
        </w:rPr>
        <w:t>95</w:t>
      </w:r>
      <w:r>
        <w:t>: 95% confidence interval, FDA; Food and Drug Administration.</w:t>
      </w:r>
    </w:p>
    <w:p w14:paraId="6C013753" w14:textId="77777777" w:rsidR="00D7436B" w:rsidRPr="00D7436B" w:rsidRDefault="00D7436B" w:rsidP="00D7436B"/>
    <w:sectPr w:rsidR="00D7436B" w:rsidRPr="00D743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D5F08"/>
    <w:rsid w:val="00001260"/>
    <w:rsid w:val="000206B7"/>
    <w:rsid w:val="00022521"/>
    <w:rsid w:val="00030213"/>
    <w:rsid w:val="00030C12"/>
    <w:rsid w:val="00082E08"/>
    <w:rsid w:val="000B72A5"/>
    <w:rsid w:val="000F2339"/>
    <w:rsid w:val="000F3F61"/>
    <w:rsid w:val="001009D8"/>
    <w:rsid w:val="00117EDA"/>
    <w:rsid w:val="0012265B"/>
    <w:rsid w:val="0014013E"/>
    <w:rsid w:val="001A0DDC"/>
    <w:rsid w:val="001D700A"/>
    <w:rsid w:val="002067E2"/>
    <w:rsid w:val="00211400"/>
    <w:rsid w:val="00287508"/>
    <w:rsid w:val="002A51D0"/>
    <w:rsid w:val="003241C2"/>
    <w:rsid w:val="00326745"/>
    <w:rsid w:val="003D0C21"/>
    <w:rsid w:val="003D5F08"/>
    <w:rsid w:val="003F6557"/>
    <w:rsid w:val="003F7EA3"/>
    <w:rsid w:val="00492029"/>
    <w:rsid w:val="004B1132"/>
    <w:rsid w:val="004E363F"/>
    <w:rsid w:val="005333EC"/>
    <w:rsid w:val="005513C9"/>
    <w:rsid w:val="00581EE5"/>
    <w:rsid w:val="005D27AB"/>
    <w:rsid w:val="00604A8C"/>
    <w:rsid w:val="00656822"/>
    <w:rsid w:val="00662390"/>
    <w:rsid w:val="00677497"/>
    <w:rsid w:val="006A3BAE"/>
    <w:rsid w:val="006A6196"/>
    <w:rsid w:val="006E23AE"/>
    <w:rsid w:val="006F2C85"/>
    <w:rsid w:val="007077D7"/>
    <w:rsid w:val="007D7F73"/>
    <w:rsid w:val="007E44D2"/>
    <w:rsid w:val="007F46B0"/>
    <w:rsid w:val="00827631"/>
    <w:rsid w:val="00911D7A"/>
    <w:rsid w:val="00981A25"/>
    <w:rsid w:val="00A70CF6"/>
    <w:rsid w:val="00B436C0"/>
    <w:rsid w:val="00B63294"/>
    <w:rsid w:val="00B64913"/>
    <w:rsid w:val="00B7035A"/>
    <w:rsid w:val="00B80E81"/>
    <w:rsid w:val="00CB4161"/>
    <w:rsid w:val="00CB7499"/>
    <w:rsid w:val="00D17841"/>
    <w:rsid w:val="00D2706C"/>
    <w:rsid w:val="00D43F83"/>
    <w:rsid w:val="00D7436B"/>
    <w:rsid w:val="00D8085D"/>
    <w:rsid w:val="00D9312D"/>
    <w:rsid w:val="00D9524F"/>
    <w:rsid w:val="00DD54DA"/>
    <w:rsid w:val="00DE2658"/>
    <w:rsid w:val="00E40741"/>
    <w:rsid w:val="00EA3761"/>
    <w:rsid w:val="00EA3FCB"/>
    <w:rsid w:val="00EB7416"/>
    <w:rsid w:val="00EC560E"/>
    <w:rsid w:val="00EF4B9E"/>
    <w:rsid w:val="00F200AD"/>
    <w:rsid w:val="00F20A9E"/>
    <w:rsid w:val="00F75773"/>
    <w:rsid w:val="00F77986"/>
    <w:rsid w:val="00F927DF"/>
    <w:rsid w:val="00FA60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E6B1"/>
  <w15:chartTrackingRefBased/>
  <w15:docId w15:val="{AECE54DF-E56F-4295-AB97-17433F2E6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5F0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3D5F0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3D5F08"/>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3D5F08"/>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3D5F08"/>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3D5F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5F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5F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5F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F08"/>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3D5F0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3D5F08"/>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3D5F08"/>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3D5F08"/>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3D5F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5F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5F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5F08"/>
    <w:rPr>
      <w:rFonts w:eastAsiaTheme="majorEastAsia" w:cstheme="majorBidi"/>
      <w:color w:val="272727" w:themeColor="text1" w:themeTint="D8"/>
    </w:rPr>
  </w:style>
  <w:style w:type="paragraph" w:styleId="Title">
    <w:name w:val="Title"/>
    <w:basedOn w:val="Normal"/>
    <w:next w:val="Normal"/>
    <w:link w:val="TitleChar"/>
    <w:uiPriority w:val="10"/>
    <w:qFormat/>
    <w:rsid w:val="003D5F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F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5F0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5F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5F0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D5F08"/>
    <w:rPr>
      <w:i/>
      <w:iCs/>
      <w:color w:val="404040" w:themeColor="text1" w:themeTint="BF"/>
    </w:rPr>
  </w:style>
  <w:style w:type="paragraph" w:styleId="ListParagraph">
    <w:name w:val="List Paragraph"/>
    <w:basedOn w:val="Normal"/>
    <w:uiPriority w:val="34"/>
    <w:qFormat/>
    <w:rsid w:val="003D5F08"/>
    <w:pPr>
      <w:ind w:left="720"/>
      <w:contextualSpacing/>
    </w:pPr>
  </w:style>
  <w:style w:type="character" w:styleId="IntenseEmphasis">
    <w:name w:val="Intense Emphasis"/>
    <w:basedOn w:val="DefaultParagraphFont"/>
    <w:uiPriority w:val="21"/>
    <w:qFormat/>
    <w:rsid w:val="003D5F08"/>
    <w:rPr>
      <w:i/>
      <w:iCs/>
      <w:color w:val="365F91" w:themeColor="accent1" w:themeShade="BF"/>
    </w:rPr>
  </w:style>
  <w:style w:type="paragraph" w:styleId="IntenseQuote">
    <w:name w:val="Intense Quote"/>
    <w:basedOn w:val="Normal"/>
    <w:next w:val="Normal"/>
    <w:link w:val="IntenseQuoteChar"/>
    <w:uiPriority w:val="30"/>
    <w:qFormat/>
    <w:rsid w:val="003D5F0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D5F08"/>
    <w:rPr>
      <w:i/>
      <w:iCs/>
      <w:color w:val="365F91" w:themeColor="accent1" w:themeShade="BF"/>
    </w:rPr>
  </w:style>
  <w:style w:type="character" w:styleId="IntenseReference">
    <w:name w:val="Intense Reference"/>
    <w:basedOn w:val="DefaultParagraphFont"/>
    <w:uiPriority w:val="32"/>
    <w:qFormat/>
    <w:rsid w:val="003D5F08"/>
    <w:rPr>
      <w:b/>
      <w:bCs/>
      <w:smallCaps/>
      <w:color w:val="365F91" w:themeColor="accent1" w:themeShade="BF"/>
      <w:spacing w:val="5"/>
    </w:rPr>
  </w:style>
  <w:style w:type="character" w:styleId="CommentReference">
    <w:name w:val="annotation reference"/>
    <w:basedOn w:val="DefaultParagraphFont"/>
    <w:uiPriority w:val="99"/>
    <w:semiHidden/>
    <w:unhideWhenUsed/>
    <w:rsid w:val="003D5F08"/>
    <w:rPr>
      <w:sz w:val="16"/>
      <w:szCs w:val="16"/>
    </w:rPr>
  </w:style>
  <w:style w:type="paragraph" w:styleId="CommentText">
    <w:name w:val="annotation text"/>
    <w:basedOn w:val="Normal"/>
    <w:link w:val="CommentTextChar"/>
    <w:uiPriority w:val="99"/>
    <w:unhideWhenUsed/>
    <w:rsid w:val="003D5F08"/>
    <w:pPr>
      <w:spacing w:after="160" w:line="240" w:lineRule="auto"/>
    </w:pPr>
    <w:rPr>
      <w:sz w:val="20"/>
      <w:szCs w:val="20"/>
    </w:rPr>
  </w:style>
  <w:style w:type="character" w:customStyle="1" w:styleId="CommentTextChar">
    <w:name w:val="Comment Text Char"/>
    <w:basedOn w:val="DefaultParagraphFont"/>
    <w:link w:val="CommentText"/>
    <w:uiPriority w:val="99"/>
    <w:rsid w:val="003D5F08"/>
    <w:rPr>
      <w:sz w:val="20"/>
      <w:szCs w:val="20"/>
    </w:rPr>
  </w:style>
  <w:style w:type="character" w:styleId="Hyperlink">
    <w:name w:val="Hyperlink"/>
    <w:basedOn w:val="DefaultParagraphFont"/>
    <w:uiPriority w:val="99"/>
    <w:unhideWhenUsed/>
    <w:rsid w:val="003D0C21"/>
    <w:rPr>
      <w:color w:val="0000FF" w:themeColor="hyperlink"/>
      <w:u w:val="single"/>
    </w:rPr>
  </w:style>
  <w:style w:type="character" w:styleId="UnresolvedMention">
    <w:name w:val="Unresolved Mention"/>
    <w:basedOn w:val="DefaultParagraphFont"/>
    <w:uiPriority w:val="99"/>
    <w:semiHidden/>
    <w:unhideWhenUsed/>
    <w:rsid w:val="003D0C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51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xjansen.com/wuss/2008/tut/tut09.pdf" TargetMode="External"/><Relationship Id="rId11" Type="http://schemas.openxmlformats.org/officeDocument/2006/relationships/image" Target="media/image6.png"/><Relationship Id="rId5" Type="http://schemas.openxmlformats.org/officeDocument/2006/relationships/hyperlink" Target="https://support.sas.com/resources/papers/proceedings/proceedings/forum2007/184-2007.pdf" TargetMode="External"/><Relationship Id="rId10" Type="http://schemas.openxmlformats.org/officeDocument/2006/relationships/image" Target="media/image5.png"/><Relationship Id="rId4" Type="http://schemas.openxmlformats.org/officeDocument/2006/relationships/image" Target="media/image1.png"/><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990794cc-8ced-4156-9787-a1fbf819c752}" enabled="1" method="Standard" siteId="{a25fff9c-3f63-4fb2-9a8a-d9bdd0321f9a}" removed="0"/>
</clbl:labelList>
</file>

<file path=docProps/app.xml><?xml version="1.0" encoding="utf-8"?>
<Properties xmlns="http://schemas.openxmlformats.org/officeDocument/2006/extended-properties" xmlns:vt="http://schemas.openxmlformats.org/officeDocument/2006/docPropsVTypes">
  <Template>Normal</Template>
  <TotalTime>182</TotalTime>
  <Pages>9</Pages>
  <Words>1251</Words>
  <Characters>7137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Mayo Clinic</Company>
  <LinksUpToDate>false</LinksUpToDate>
  <CharactersWithSpaces>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Geyer, Susan M., Ph.D.</dc:creator>
  <cp:keywords/>
  <dc:description/>
  <cp:lastModifiedBy>Sanjal Desai</cp:lastModifiedBy>
  <cp:revision>67</cp:revision>
  <dcterms:created xsi:type="dcterms:W3CDTF">2025-12-21T20:32:00Z</dcterms:created>
  <dcterms:modified xsi:type="dcterms:W3CDTF">2026-01-07T02:56:00Z</dcterms:modified>
</cp:coreProperties>
</file>