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ED159" w14:textId="23446AB5" w:rsidR="00722B1C" w:rsidRPr="00D67307" w:rsidRDefault="00722B1C" w:rsidP="00722B1C">
      <w:pPr>
        <w:jc w:val="both"/>
        <w:rPr>
          <w:rFonts w:ascii="Arial" w:hAnsi="Arial" w:cs="Arial"/>
          <w:b/>
          <w:sz w:val="24"/>
          <w:szCs w:val="24"/>
        </w:rPr>
      </w:pPr>
      <w:r w:rsidRPr="00D67307">
        <w:rPr>
          <w:rFonts w:ascii="Arial" w:hAnsi="Arial" w:cs="Arial"/>
          <w:b/>
          <w:sz w:val="24"/>
          <w:szCs w:val="24"/>
        </w:rPr>
        <w:t xml:space="preserve">Supplemental files </w:t>
      </w:r>
      <w:r w:rsidR="00D87805" w:rsidRPr="00D67307">
        <w:rPr>
          <w:rFonts w:ascii="Arial" w:hAnsi="Arial" w:cs="Arial"/>
          <w:b/>
          <w:sz w:val="24"/>
          <w:szCs w:val="24"/>
        </w:rPr>
        <w:t xml:space="preserve"> </w:t>
      </w:r>
    </w:p>
    <w:p w14:paraId="2E81EFC4" w14:textId="77777777" w:rsidR="00722B1C" w:rsidRPr="00D67307" w:rsidRDefault="00722B1C" w:rsidP="00722B1C">
      <w:pPr>
        <w:jc w:val="both"/>
        <w:rPr>
          <w:rFonts w:ascii="Arial" w:hAnsi="Arial" w:cs="Arial"/>
          <w:b/>
          <w:sz w:val="24"/>
          <w:szCs w:val="24"/>
        </w:rPr>
      </w:pPr>
      <w:bookmarkStart w:id="0" w:name="_Hlk77802117"/>
      <w:r w:rsidRPr="00D67307">
        <w:rPr>
          <w:rFonts w:ascii="Arial" w:hAnsi="Arial" w:cs="Arial"/>
          <w:b/>
          <w:sz w:val="24"/>
          <w:szCs w:val="24"/>
        </w:rPr>
        <w:t xml:space="preserve">Supplemental figure Legends </w:t>
      </w:r>
    </w:p>
    <w:p w14:paraId="0DB19225" w14:textId="6B04205C" w:rsidR="0072544C" w:rsidRPr="00D67307" w:rsidRDefault="00D916F7" w:rsidP="00CF54E7">
      <w:pPr>
        <w:spacing w:line="276" w:lineRule="auto"/>
        <w:ind w:left="1080" w:hanging="1080"/>
        <w:jc w:val="both"/>
        <w:rPr>
          <w:rFonts w:ascii="Arial" w:hAnsi="Arial" w:cs="Arial"/>
          <w:sz w:val="24"/>
          <w:szCs w:val="24"/>
        </w:rPr>
      </w:pPr>
      <w:r w:rsidRPr="00D67307">
        <w:rPr>
          <w:rFonts w:ascii="Arial" w:hAnsi="Arial" w:cs="Arial"/>
          <w:b/>
          <w:noProof/>
          <w:sz w:val="24"/>
          <w:szCs w:val="24"/>
        </w:rPr>
        <w:t xml:space="preserve">Supplemental figure 1A: </w:t>
      </w:r>
      <w:r w:rsidRPr="00D67307">
        <w:rPr>
          <w:rFonts w:ascii="Arial" w:hAnsi="Arial" w:cs="Arial"/>
          <w:sz w:val="24"/>
          <w:szCs w:val="24"/>
        </w:rPr>
        <w:t>Cell deconvolution for 41 samples with fixed annotation for all samples. Tissue detail line plot suggests more detailed information on Tissue site.  Cell deconvolution for 41 MFP samples plus T</w:t>
      </w:r>
      <w:proofErr w:type="gramStart"/>
      <w:r w:rsidRPr="00D67307">
        <w:rPr>
          <w:rFonts w:ascii="Arial" w:hAnsi="Arial" w:cs="Arial"/>
          <w:sz w:val="24"/>
          <w:szCs w:val="24"/>
        </w:rPr>
        <w:t>2,T</w:t>
      </w:r>
      <w:proofErr w:type="gramEnd"/>
      <w:r w:rsidRPr="00D67307">
        <w:rPr>
          <w:rFonts w:ascii="Arial" w:hAnsi="Arial" w:cs="Arial"/>
          <w:sz w:val="24"/>
          <w:szCs w:val="24"/>
        </w:rPr>
        <w:t xml:space="preserve">3,T4 samples derived from normal lymph nodes is shown. N cluster resembles normal LN samples: that explains where the name “normal lymph node-like” for this cluster is coming from. No variability of TME between tissue types was found except for fibroblasts, which is expected. </w:t>
      </w:r>
      <w:r w:rsidR="0072544C" w:rsidRPr="00D67307">
        <w:rPr>
          <w:rFonts w:ascii="Arial" w:hAnsi="Arial" w:cs="Arial"/>
          <w:sz w:val="24"/>
          <w:szCs w:val="24"/>
        </w:rPr>
        <w:t xml:space="preserve"> Box plots for general LN and Tissue types – are also shown, no significant difference was found except for fibroblasts, which is expected.</w:t>
      </w:r>
      <w:r w:rsidR="0072544C" w:rsidRPr="00D67307">
        <w:t xml:space="preserve"> </w:t>
      </w:r>
    </w:p>
    <w:p w14:paraId="35DC27D7" w14:textId="77777777" w:rsidR="00D916F7" w:rsidRPr="00D67307" w:rsidRDefault="00D916F7" w:rsidP="00D916F7">
      <w:pPr>
        <w:spacing w:line="276" w:lineRule="auto"/>
        <w:ind w:left="1080" w:hanging="1080"/>
        <w:jc w:val="both"/>
        <w:rPr>
          <w:rFonts w:ascii="Arial" w:hAnsi="Arial" w:cs="Arial"/>
          <w:sz w:val="24"/>
          <w:szCs w:val="24"/>
        </w:rPr>
      </w:pPr>
    </w:p>
    <w:p w14:paraId="3988A89D" w14:textId="7047F9F0" w:rsidR="0061240B" w:rsidRPr="00D67307" w:rsidRDefault="00722B1C" w:rsidP="00E27957">
      <w:pPr>
        <w:spacing w:line="276" w:lineRule="auto"/>
        <w:ind w:left="1080" w:hanging="1080"/>
        <w:jc w:val="both"/>
        <w:rPr>
          <w:rFonts w:ascii="Arial" w:hAnsi="Arial" w:cs="Arial"/>
          <w:sz w:val="24"/>
          <w:szCs w:val="24"/>
        </w:rPr>
      </w:pPr>
      <w:r w:rsidRPr="00D67307">
        <w:rPr>
          <w:rFonts w:ascii="Arial" w:hAnsi="Arial" w:cs="Arial"/>
          <w:b/>
          <w:noProof/>
          <w:sz w:val="24"/>
          <w:szCs w:val="24"/>
        </w:rPr>
        <w:t>Supplemental figure 1</w:t>
      </w:r>
      <w:r w:rsidR="00D916F7" w:rsidRPr="00D67307">
        <w:rPr>
          <w:rFonts w:ascii="Arial" w:hAnsi="Arial" w:cs="Arial"/>
          <w:b/>
          <w:noProof/>
          <w:sz w:val="24"/>
          <w:szCs w:val="24"/>
        </w:rPr>
        <w:t>B</w:t>
      </w:r>
      <w:r w:rsidRPr="00D67307">
        <w:rPr>
          <w:rFonts w:ascii="Arial" w:hAnsi="Arial" w:cs="Arial"/>
          <w:b/>
          <w:noProof/>
          <w:sz w:val="24"/>
          <w:szCs w:val="24"/>
        </w:rPr>
        <w:t xml:space="preserve">: </w:t>
      </w:r>
      <w:r w:rsidR="00687041" w:rsidRPr="00D67307">
        <w:rPr>
          <w:rFonts w:ascii="Arial" w:hAnsi="Arial" w:cs="Arial"/>
          <w:b/>
          <w:noProof/>
          <w:sz w:val="24"/>
          <w:szCs w:val="24"/>
        </w:rPr>
        <w:t xml:space="preserve">A) TME types in MCL - </w:t>
      </w:r>
      <w:r w:rsidR="00687041" w:rsidRPr="00D67307">
        <w:rPr>
          <w:rFonts w:ascii="Arial" w:hAnsi="Arial" w:cs="Arial"/>
          <w:sz w:val="24"/>
          <w:szCs w:val="24"/>
        </w:rPr>
        <w:t xml:space="preserve">The TME is divided into immune enriched (N and IE subtype) and immune desert types (M and D subtypes). Most significant and specific gene signatures from figure 1B are shown, according to TME clusters. Favorable prognosis is shown in blue and adverse prognosis in red color blocks. Tumor proliferation rate signature is overexpressed in immune-depleted (D) TME cluster. </w:t>
      </w:r>
      <w:r w:rsidR="00687041" w:rsidRPr="00D67307">
        <w:rPr>
          <w:rFonts w:ascii="Arial" w:hAnsi="Arial" w:cs="Arial"/>
          <w:b/>
          <w:bCs/>
          <w:sz w:val="24"/>
          <w:szCs w:val="24"/>
        </w:rPr>
        <w:t>B)</w:t>
      </w:r>
      <w:r w:rsidR="00687041" w:rsidRPr="00D67307">
        <w:rPr>
          <w:rFonts w:ascii="Arial" w:hAnsi="Arial" w:cs="Arial"/>
          <w:sz w:val="24"/>
          <w:szCs w:val="24"/>
        </w:rPr>
        <w:t xml:space="preserve"> </w:t>
      </w:r>
      <w:r w:rsidR="0061240B" w:rsidRPr="00D67307">
        <w:rPr>
          <w:rFonts w:ascii="Arial" w:hAnsi="Arial" w:cs="Arial"/>
          <w:b/>
          <w:noProof/>
          <w:sz w:val="24"/>
          <w:szCs w:val="24"/>
        </w:rPr>
        <w:t xml:space="preserve">Box plots from selected PROGENy pathways. </w:t>
      </w:r>
      <w:r w:rsidR="0061240B" w:rsidRPr="00D67307">
        <w:rPr>
          <w:rFonts w:ascii="Arial" w:hAnsi="Arial" w:cs="Arial"/>
          <w:sz w:val="24"/>
          <w:szCs w:val="24"/>
        </w:rPr>
        <w:t>Selected important PROGENy pathways from TP53, JAK-STAT, EGFR, NFkB,</w:t>
      </w:r>
      <w:r w:rsidR="0081252A" w:rsidRPr="00D67307">
        <w:rPr>
          <w:rFonts w:ascii="Arial" w:hAnsi="Arial" w:cs="Arial"/>
          <w:sz w:val="24"/>
          <w:szCs w:val="24"/>
        </w:rPr>
        <w:t xml:space="preserve"> </w:t>
      </w:r>
      <w:r w:rsidR="0061240B" w:rsidRPr="00D67307">
        <w:rPr>
          <w:rFonts w:ascii="Arial" w:hAnsi="Arial" w:cs="Arial"/>
          <w:sz w:val="24"/>
          <w:szCs w:val="24"/>
        </w:rPr>
        <w:t xml:space="preserve">hypoxia, MAP kinase, Wnt and PI3Kinase pathways are shown according to the 4 Molecular Functional Portrait (MFP) clusters. </w:t>
      </w:r>
      <w:r w:rsidR="0081252A" w:rsidRPr="00D67307">
        <w:rPr>
          <w:rFonts w:ascii="Arial" w:hAnsi="Arial" w:cs="Arial"/>
          <w:sz w:val="24"/>
          <w:szCs w:val="24"/>
        </w:rPr>
        <w:t>Immune depleted (orange), mesenchymal (red), immune enriched (blue) and normal lymph node like TME cluster (green). PI3K pathway</w:t>
      </w:r>
      <w:r w:rsidR="00687041" w:rsidRPr="00D67307">
        <w:rPr>
          <w:rFonts w:ascii="Arial" w:hAnsi="Arial" w:cs="Arial"/>
          <w:sz w:val="24"/>
          <w:szCs w:val="24"/>
        </w:rPr>
        <w:t xml:space="preserve"> was </w:t>
      </w:r>
      <w:r w:rsidR="0081252A" w:rsidRPr="00D67307">
        <w:rPr>
          <w:rFonts w:ascii="Arial" w:hAnsi="Arial" w:cs="Arial"/>
          <w:sz w:val="24"/>
          <w:szCs w:val="24"/>
        </w:rPr>
        <w:t>overexpressed in immune depleted subtype.</w:t>
      </w:r>
      <w:r w:rsidR="0013763A" w:rsidRPr="00D67307">
        <w:rPr>
          <w:rFonts w:ascii="Arial" w:hAnsi="Arial" w:cs="Arial"/>
          <w:sz w:val="24"/>
          <w:szCs w:val="24"/>
        </w:rPr>
        <w:t xml:space="preserve"> </w:t>
      </w:r>
    </w:p>
    <w:p w14:paraId="7DE62D3E" w14:textId="654877C3" w:rsidR="00BB4AA0" w:rsidRPr="00D67307" w:rsidRDefault="0061240B" w:rsidP="00E27957">
      <w:pPr>
        <w:spacing w:line="276" w:lineRule="auto"/>
        <w:ind w:left="1080" w:hanging="1080"/>
        <w:jc w:val="both"/>
        <w:rPr>
          <w:rFonts w:ascii="Arial" w:hAnsi="Arial" w:cs="Arial"/>
          <w:sz w:val="24"/>
          <w:szCs w:val="24"/>
        </w:rPr>
      </w:pPr>
      <w:r w:rsidRPr="00D67307">
        <w:rPr>
          <w:rFonts w:ascii="Arial" w:hAnsi="Arial" w:cs="Arial"/>
          <w:b/>
          <w:noProof/>
          <w:sz w:val="24"/>
          <w:szCs w:val="24"/>
        </w:rPr>
        <w:t xml:space="preserve">Supplemental figure </w:t>
      </w:r>
      <w:r w:rsidR="00C3670D" w:rsidRPr="00D67307">
        <w:rPr>
          <w:rFonts w:ascii="Arial" w:hAnsi="Arial" w:cs="Arial"/>
          <w:b/>
          <w:noProof/>
          <w:sz w:val="24"/>
          <w:szCs w:val="24"/>
        </w:rPr>
        <w:t>2</w:t>
      </w:r>
      <w:r w:rsidRPr="00D67307">
        <w:rPr>
          <w:rFonts w:ascii="Arial" w:hAnsi="Arial" w:cs="Arial"/>
          <w:b/>
          <w:noProof/>
          <w:sz w:val="24"/>
          <w:szCs w:val="24"/>
        </w:rPr>
        <w:t xml:space="preserve">: Box plots from </w:t>
      </w:r>
      <w:r w:rsidR="00BB4AA0" w:rsidRPr="00D67307">
        <w:rPr>
          <w:rFonts w:ascii="Arial" w:hAnsi="Arial" w:cs="Arial"/>
          <w:b/>
          <w:noProof/>
          <w:sz w:val="24"/>
          <w:szCs w:val="24"/>
        </w:rPr>
        <w:t>immune chekpoint genes among the four TME (tumor microenvironment) clusters</w:t>
      </w:r>
      <w:r w:rsidRPr="00D67307">
        <w:rPr>
          <w:rFonts w:ascii="Arial" w:hAnsi="Arial" w:cs="Arial"/>
          <w:b/>
          <w:noProof/>
          <w:sz w:val="24"/>
          <w:szCs w:val="24"/>
        </w:rPr>
        <w:t>.</w:t>
      </w:r>
      <w:r w:rsidR="00BB4AA0" w:rsidRPr="00D67307">
        <w:rPr>
          <w:rFonts w:ascii="Arial" w:hAnsi="Arial" w:cs="Arial"/>
          <w:sz w:val="24"/>
          <w:szCs w:val="24"/>
        </w:rPr>
        <w:t xml:space="preserve"> </w:t>
      </w:r>
      <w:r w:rsidR="00490736" w:rsidRPr="00D67307">
        <w:rPr>
          <w:rFonts w:ascii="Arial" w:hAnsi="Arial" w:cs="Arial"/>
          <w:sz w:val="24"/>
          <w:szCs w:val="24"/>
        </w:rPr>
        <w:t>Main</w:t>
      </w:r>
      <w:r w:rsidR="00BB4AA0" w:rsidRPr="00D67307">
        <w:rPr>
          <w:rFonts w:ascii="Arial" w:hAnsi="Arial" w:cs="Arial"/>
          <w:sz w:val="24"/>
          <w:szCs w:val="24"/>
        </w:rPr>
        <w:t xml:space="preserve"> immune checkpoint genes (PD</w:t>
      </w:r>
      <w:r w:rsidR="00490736" w:rsidRPr="00D67307">
        <w:rPr>
          <w:rFonts w:ascii="Arial" w:hAnsi="Arial" w:cs="Arial"/>
          <w:sz w:val="24"/>
          <w:szCs w:val="24"/>
        </w:rPr>
        <w:t>CD</w:t>
      </w:r>
      <w:r w:rsidR="00BB4AA0" w:rsidRPr="00D67307">
        <w:rPr>
          <w:rFonts w:ascii="Arial" w:hAnsi="Arial" w:cs="Arial"/>
          <w:sz w:val="24"/>
          <w:szCs w:val="24"/>
        </w:rPr>
        <w:t xml:space="preserve">1, PD-L1, </w:t>
      </w:r>
      <w:r w:rsidR="00490736" w:rsidRPr="00D67307">
        <w:rPr>
          <w:rFonts w:ascii="Arial" w:hAnsi="Arial" w:cs="Arial"/>
          <w:sz w:val="24"/>
          <w:szCs w:val="24"/>
        </w:rPr>
        <w:t xml:space="preserve">TIGIT, </w:t>
      </w:r>
      <w:r w:rsidR="00BB4AA0" w:rsidRPr="00D67307">
        <w:rPr>
          <w:rFonts w:ascii="Arial" w:hAnsi="Arial" w:cs="Arial"/>
          <w:sz w:val="24"/>
          <w:szCs w:val="24"/>
        </w:rPr>
        <w:t xml:space="preserve">LAG3, </w:t>
      </w:r>
      <w:r w:rsidR="00490736" w:rsidRPr="00D67307">
        <w:rPr>
          <w:rFonts w:ascii="Arial" w:hAnsi="Arial" w:cs="Arial"/>
          <w:sz w:val="24"/>
          <w:szCs w:val="24"/>
        </w:rPr>
        <w:t>and</w:t>
      </w:r>
      <w:r w:rsidR="00BB4AA0" w:rsidRPr="00D67307">
        <w:rPr>
          <w:rFonts w:ascii="Arial" w:hAnsi="Arial" w:cs="Arial"/>
          <w:sz w:val="24"/>
          <w:szCs w:val="24"/>
        </w:rPr>
        <w:t xml:space="preserve"> HAVCR</w:t>
      </w:r>
      <w:r w:rsidR="00490736" w:rsidRPr="00D67307">
        <w:rPr>
          <w:rFonts w:ascii="Arial" w:hAnsi="Arial" w:cs="Arial"/>
          <w:sz w:val="24"/>
          <w:szCs w:val="24"/>
        </w:rPr>
        <w:t>3</w:t>
      </w:r>
      <w:r w:rsidR="00BB4AA0" w:rsidRPr="00D67307">
        <w:rPr>
          <w:rFonts w:ascii="Arial" w:hAnsi="Arial" w:cs="Arial"/>
          <w:sz w:val="24"/>
          <w:szCs w:val="24"/>
        </w:rPr>
        <w:t xml:space="preserve">) expressions </w:t>
      </w:r>
      <w:r w:rsidR="00490736" w:rsidRPr="00D67307">
        <w:rPr>
          <w:rFonts w:ascii="Arial" w:hAnsi="Arial" w:cs="Arial"/>
          <w:sz w:val="24"/>
          <w:szCs w:val="24"/>
        </w:rPr>
        <w:t xml:space="preserve">profile is shown according to the </w:t>
      </w:r>
      <w:r w:rsidR="00BB4AA0" w:rsidRPr="00D67307">
        <w:rPr>
          <w:rFonts w:ascii="Arial" w:hAnsi="Arial" w:cs="Arial"/>
          <w:sz w:val="24"/>
          <w:szCs w:val="24"/>
        </w:rPr>
        <w:t>MFP cluster</w:t>
      </w:r>
      <w:r w:rsidR="00490736" w:rsidRPr="00D67307">
        <w:rPr>
          <w:rFonts w:ascii="Arial" w:hAnsi="Arial" w:cs="Arial"/>
          <w:sz w:val="24"/>
          <w:szCs w:val="24"/>
        </w:rPr>
        <w:t xml:space="preserve"> subtypes</w:t>
      </w:r>
      <w:r w:rsidR="00BB4AA0" w:rsidRPr="00D67307">
        <w:rPr>
          <w:rFonts w:ascii="Arial" w:hAnsi="Arial" w:cs="Arial"/>
          <w:sz w:val="24"/>
          <w:szCs w:val="24"/>
        </w:rPr>
        <w:t xml:space="preserve">. </w:t>
      </w:r>
      <w:r w:rsidR="00490736" w:rsidRPr="00D67307">
        <w:rPr>
          <w:rFonts w:ascii="Arial" w:hAnsi="Arial" w:cs="Arial"/>
          <w:sz w:val="24"/>
          <w:szCs w:val="24"/>
        </w:rPr>
        <w:t xml:space="preserve">Immune depleted (orange), mesenchymal (red), immune enriched (blue) and normal lymph node like TME cluster (green). </w:t>
      </w:r>
      <w:r w:rsidR="00BB4AA0" w:rsidRPr="00D67307">
        <w:rPr>
          <w:rFonts w:ascii="Arial" w:hAnsi="Arial" w:cs="Arial"/>
          <w:sz w:val="24"/>
          <w:szCs w:val="24"/>
        </w:rPr>
        <w:t xml:space="preserve">The data is shown after z-score normalization. </w:t>
      </w:r>
      <w:r w:rsidR="00183AFA" w:rsidRPr="00D67307">
        <w:rPr>
          <w:rFonts w:ascii="Arial" w:hAnsi="Arial" w:cs="Arial"/>
          <w:sz w:val="24"/>
          <w:szCs w:val="24"/>
        </w:rPr>
        <w:t>Immune depleted and mesenchymal subtypes had a lower expression of immune check point genes compared with immune rich and normal lymph</w:t>
      </w:r>
      <w:r w:rsidR="00E1660B" w:rsidRPr="00D67307">
        <w:rPr>
          <w:rFonts w:ascii="Arial" w:hAnsi="Arial" w:cs="Arial"/>
          <w:sz w:val="24"/>
          <w:szCs w:val="24"/>
        </w:rPr>
        <w:t xml:space="preserve"> </w:t>
      </w:r>
      <w:r w:rsidR="00183AFA" w:rsidRPr="00D67307">
        <w:rPr>
          <w:rFonts w:ascii="Arial" w:hAnsi="Arial" w:cs="Arial"/>
          <w:sz w:val="24"/>
          <w:szCs w:val="24"/>
        </w:rPr>
        <w:t>node like MFP clusters.</w:t>
      </w:r>
    </w:p>
    <w:p w14:paraId="412F4885" w14:textId="66F00E28" w:rsidR="00A53E75" w:rsidRPr="00D67307" w:rsidRDefault="0061240B" w:rsidP="00E27957">
      <w:pPr>
        <w:spacing w:line="276" w:lineRule="auto"/>
        <w:ind w:left="1080" w:hanging="1080"/>
        <w:jc w:val="both"/>
        <w:rPr>
          <w:rFonts w:ascii="Arial" w:hAnsi="Arial" w:cs="Arial"/>
          <w:sz w:val="24"/>
          <w:szCs w:val="24"/>
        </w:rPr>
      </w:pPr>
      <w:r w:rsidRPr="00D67307">
        <w:rPr>
          <w:rFonts w:ascii="Arial" w:hAnsi="Arial" w:cs="Arial"/>
          <w:b/>
          <w:noProof/>
          <w:sz w:val="24"/>
          <w:szCs w:val="24"/>
        </w:rPr>
        <w:t xml:space="preserve">Supplemental figure </w:t>
      </w:r>
      <w:r w:rsidR="002F2277" w:rsidRPr="00D67307">
        <w:rPr>
          <w:rFonts w:ascii="Arial" w:hAnsi="Arial" w:cs="Arial"/>
          <w:b/>
          <w:noProof/>
          <w:sz w:val="24"/>
          <w:szCs w:val="24"/>
        </w:rPr>
        <w:t>3</w:t>
      </w:r>
      <w:r w:rsidRPr="00D67307">
        <w:rPr>
          <w:rFonts w:ascii="Arial" w:hAnsi="Arial" w:cs="Arial"/>
          <w:b/>
          <w:noProof/>
          <w:sz w:val="24"/>
          <w:szCs w:val="24"/>
        </w:rPr>
        <w:t xml:space="preserve">: Box plots </w:t>
      </w:r>
      <w:r w:rsidR="00AC04FB" w:rsidRPr="00D67307">
        <w:rPr>
          <w:rFonts w:ascii="Arial" w:hAnsi="Arial" w:cs="Arial"/>
          <w:b/>
          <w:noProof/>
          <w:sz w:val="24"/>
          <w:szCs w:val="24"/>
        </w:rPr>
        <w:t>with gene signatures according to the four TM</w:t>
      </w:r>
      <w:r w:rsidR="00DE6C77" w:rsidRPr="00D67307">
        <w:rPr>
          <w:rFonts w:ascii="Arial" w:hAnsi="Arial" w:cs="Arial"/>
          <w:b/>
          <w:noProof/>
          <w:sz w:val="24"/>
          <w:szCs w:val="24"/>
        </w:rPr>
        <w:t xml:space="preserve">E (tumor microenvironment) </w:t>
      </w:r>
      <w:r w:rsidR="00AC04FB" w:rsidRPr="00D67307">
        <w:rPr>
          <w:rFonts w:ascii="Arial" w:hAnsi="Arial" w:cs="Arial"/>
          <w:b/>
          <w:noProof/>
          <w:sz w:val="24"/>
          <w:szCs w:val="24"/>
        </w:rPr>
        <w:t>clusters</w:t>
      </w:r>
      <w:r w:rsidR="00182E66" w:rsidRPr="00D67307">
        <w:rPr>
          <w:rFonts w:ascii="Arial" w:hAnsi="Arial" w:cs="Arial"/>
          <w:b/>
          <w:noProof/>
          <w:sz w:val="24"/>
          <w:szCs w:val="24"/>
        </w:rPr>
        <w:t xml:space="preserve"> in different cell types using a RNA sequencing deconvolution algorithm</w:t>
      </w:r>
      <w:r w:rsidR="00AC04FB" w:rsidRPr="00D67307">
        <w:rPr>
          <w:rFonts w:ascii="Arial" w:hAnsi="Arial" w:cs="Arial"/>
          <w:b/>
          <w:noProof/>
          <w:sz w:val="24"/>
          <w:szCs w:val="24"/>
        </w:rPr>
        <w:t xml:space="preserve">. </w:t>
      </w:r>
      <w:r w:rsidR="00AC04FB" w:rsidRPr="00D67307">
        <w:rPr>
          <w:rFonts w:ascii="Arial" w:hAnsi="Arial" w:cs="Arial"/>
          <w:sz w:val="24"/>
          <w:szCs w:val="24"/>
        </w:rPr>
        <w:t xml:space="preserve">Immune depleted (orange), mesenchymal (red), immune enriched (blue) and normal lymph node like TME </w:t>
      </w:r>
      <w:r w:rsidR="00AC04FB" w:rsidRPr="00D67307">
        <w:rPr>
          <w:rFonts w:ascii="Arial" w:hAnsi="Arial" w:cs="Arial"/>
          <w:sz w:val="24"/>
          <w:szCs w:val="24"/>
        </w:rPr>
        <w:lastRenderedPageBreak/>
        <w:t>cluster (green).</w:t>
      </w:r>
      <w:r w:rsidR="00DE6C77" w:rsidRPr="00D67307">
        <w:rPr>
          <w:rFonts w:ascii="Arial" w:hAnsi="Arial" w:cs="Arial"/>
          <w:sz w:val="24"/>
          <w:szCs w:val="24"/>
        </w:rPr>
        <w:t xml:space="preserve"> The proliferation rate gene signature is noticeably overexpressed in immune depleted subtype of TMP clusters.</w:t>
      </w:r>
    </w:p>
    <w:p w14:paraId="478B7D6D" w14:textId="771F2B28" w:rsidR="00103281" w:rsidRPr="00D67307" w:rsidRDefault="0061240B" w:rsidP="00E27957">
      <w:pPr>
        <w:spacing w:line="276" w:lineRule="auto"/>
        <w:ind w:left="1080" w:hanging="1080"/>
        <w:jc w:val="both"/>
        <w:rPr>
          <w:rFonts w:ascii="Arial" w:hAnsi="Arial" w:cs="Arial"/>
          <w:sz w:val="24"/>
          <w:szCs w:val="24"/>
        </w:rPr>
      </w:pPr>
      <w:r w:rsidRPr="00D67307">
        <w:rPr>
          <w:rFonts w:ascii="Arial" w:hAnsi="Arial" w:cs="Arial"/>
          <w:b/>
          <w:noProof/>
          <w:sz w:val="24"/>
          <w:szCs w:val="24"/>
        </w:rPr>
        <w:t xml:space="preserve">Supplemental figure </w:t>
      </w:r>
      <w:r w:rsidR="00DE6C77" w:rsidRPr="00D67307">
        <w:rPr>
          <w:rFonts w:ascii="Arial" w:hAnsi="Arial" w:cs="Arial"/>
          <w:b/>
          <w:noProof/>
          <w:sz w:val="24"/>
          <w:szCs w:val="24"/>
        </w:rPr>
        <w:t>4</w:t>
      </w:r>
      <w:r w:rsidRPr="00D67307">
        <w:rPr>
          <w:rFonts w:ascii="Arial" w:hAnsi="Arial" w:cs="Arial"/>
          <w:b/>
          <w:noProof/>
          <w:sz w:val="24"/>
          <w:szCs w:val="24"/>
        </w:rPr>
        <w:t xml:space="preserve">: </w:t>
      </w:r>
      <w:r w:rsidR="0003605D" w:rsidRPr="00D67307">
        <w:rPr>
          <w:rFonts w:ascii="Arial" w:hAnsi="Arial" w:cs="Arial"/>
          <w:b/>
          <w:noProof/>
          <w:sz w:val="24"/>
          <w:szCs w:val="24"/>
        </w:rPr>
        <w:t>Somatic mutations according to the four TME (tumor microenvironment) clusters</w:t>
      </w:r>
      <w:r w:rsidRPr="00D67307">
        <w:rPr>
          <w:rFonts w:ascii="Arial" w:hAnsi="Arial" w:cs="Arial"/>
          <w:b/>
          <w:noProof/>
          <w:sz w:val="24"/>
          <w:szCs w:val="24"/>
        </w:rPr>
        <w:t xml:space="preserve">. </w:t>
      </w:r>
      <w:r w:rsidR="0003605D" w:rsidRPr="00D67307">
        <w:rPr>
          <w:rFonts w:ascii="Arial" w:hAnsi="Arial" w:cs="Arial"/>
          <w:b/>
          <w:bCs/>
          <w:sz w:val="24"/>
          <w:szCs w:val="24"/>
        </w:rPr>
        <w:t>A)</w:t>
      </w:r>
      <w:r w:rsidR="0003605D" w:rsidRPr="00D67307">
        <w:rPr>
          <w:rFonts w:ascii="Arial" w:hAnsi="Arial" w:cs="Arial"/>
          <w:sz w:val="24"/>
          <w:szCs w:val="24"/>
        </w:rPr>
        <w:t xml:space="preserve"> </w:t>
      </w:r>
      <w:proofErr w:type="spellStart"/>
      <w:r w:rsidR="0003605D" w:rsidRPr="00D67307">
        <w:rPr>
          <w:rFonts w:ascii="Arial" w:hAnsi="Arial" w:cs="Arial"/>
          <w:sz w:val="24"/>
          <w:szCs w:val="24"/>
        </w:rPr>
        <w:t>Oncoplot</w:t>
      </w:r>
      <w:proofErr w:type="spellEnd"/>
      <w:r w:rsidR="00331291" w:rsidRPr="00D67307">
        <w:rPr>
          <w:rFonts w:ascii="Arial" w:hAnsi="Arial" w:cs="Arial"/>
          <w:sz w:val="24"/>
          <w:szCs w:val="24"/>
        </w:rPr>
        <w:t xml:space="preserve"> </w:t>
      </w:r>
      <w:r w:rsidR="0003605D" w:rsidRPr="00D67307">
        <w:rPr>
          <w:rFonts w:ascii="Arial" w:hAnsi="Arial" w:cs="Arial"/>
          <w:sz w:val="24"/>
          <w:szCs w:val="24"/>
        </w:rPr>
        <w:t>mutation</w:t>
      </w:r>
      <w:r w:rsidR="00331291" w:rsidRPr="00D67307">
        <w:rPr>
          <w:rFonts w:ascii="Arial" w:hAnsi="Arial" w:cs="Arial"/>
          <w:sz w:val="24"/>
          <w:szCs w:val="24"/>
        </w:rPr>
        <w:t xml:space="preserve"> </w:t>
      </w:r>
      <w:r w:rsidR="0003605D" w:rsidRPr="00D67307">
        <w:rPr>
          <w:rFonts w:ascii="Arial" w:hAnsi="Arial" w:cs="Arial"/>
          <w:sz w:val="24"/>
          <w:szCs w:val="24"/>
        </w:rPr>
        <w:t>distribution</w:t>
      </w:r>
      <w:r w:rsidR="00C333AF" w:rsidRPr="00D67307">
        <w:rPr>
          <w:rFonts w:ascii="Arial" w:hAnsi="Arial" w:cs="Arial"/>
          <w:sz w:val="24"/>
          <w:szCs w:val="24"/>
        </w:rPr>
        <w:t xml:space="preserve"> showing</w:t>
      </w:r>
      <w:r w:rsidR="0003605D" w:rsidRPr="00D67307">
        <w:rPr>
          <w:rFonts w:ascii="Arial" w:hAnsi="Arial" w:cs="Arial"/>
          <w:sz w:val="24"/>
          <w:szCs w:val="24"/>
        </w:rPr>
        <w:t xml:space="preserve"> bar plot</w:t>
      </w:r>
      <w:r w:rsidR="00C333AF" w:rsidRPr="00D67307">
        <w:rPr>
          <w:rFonts w:ascii="Arial" w:hAnsi="Arial" w:cs="Arial"/>
          <w:sz w:val="24"/>
          <w:szCs w:val="24"/>
        </w:rPr>
        <w:t>s</w:t>
      </w:r>
      <w:r w:rsidR="0003605D" w:rsidRPr="00D67307">
        <w:rPr>
          <w:rFonts w:ascii="Arial" w:hAnsi="Arial" w:cs="Arial"/>
          <w:sz w:val="24"/>
          <w:szCs w:val="24"/>
        </w:rPr>
        <w:t xml:space="preserve"> with distribution of highly mutated genes in </w:t>
      </w:r>
      <w:r w:rsidR="00C333AF" w:rsidRPr="00D67307">
        <w:rPr>
          <w:rFonts w:ascii="Arial" w:hAnsi="Arial" w:cs="Arial"/>
          <w:sz w:val="24"/>
          <w:szCs w:val="24"/>
        </w:rPr>
        <w:t>mantle cell lymphoma,</w:t>
      </w:r>
      <w:r w:rsidR="0003605D" w:rsidRPr="00D67307">
        <w:rPr>
          <w:rFonts w:ascii="Arial" w:hAnsi="Arial" w:cs="Arial"/>
          <w:sz w:val="24"/>
          <w:szCs w:val="24"/>
        </w:rPr>
        <w:t xml:space="preserve"> by </w:t>
      </w:r>
      <w:r w:rsidR="009138ED" w:rsidRPr="00D67307">
        <w:rPr>
          <w:rFonts w:ascii="Arial" w:hAnsi="Arial" w:cs="Arial"/>
          <w:sz w:val="24"/>
          <w:szCs w:val="24"/>
        </w:rPr>
        <w:t>m</w:t>
      </w:r>
      <w:r w:rsidR="00C333AF" w:rsidRPr="00D67307">
        <w:rPr>
          <w:rFonts w:ascii="Arial" w:hAnsi="Arial" w:cs="Arial"/>
          <w:sz w:val="24"/>
          <w:szCs w:val="24"/>
        </w:rPr>
        <w:t>olecular Functional Portrait (MFP) clusters. Immune depleted (orange), mesenchymal (red), immune enriched (blue) and normal lymph node like TME cluster (green).</w:t>
      </w:r>
      <w:r w:rsidR="00380B6C" w:rsidRPr="00D67307">
        <w:rPr>
          <w:rFonts w:ascii="Arial" w:hAnsi="Arial" w:cs="Arial"/>
          <w:sz w:val="24"/>
          <w:szCs w:val="24"/>
        </w:rPr>
        <w:t xml:space="preserve"> Multiple mutations were </w:t>
      </w:r>
      <w:r w:rsidR="009138ED" w:rsidRPr="00D67307">
        <w:rPr>
          <w:rFonts w:ascii="Arial" w:hAnsi="Arial" w:cs="Arial"/>
          <w:sz w:val="24"/>
          <w:szCs w:val="24"/>
        </w:rPr>
        <w:t xml:space="preserve">clustered </w:t>
      </w:r>
      <w:r w:rsidR="00380B6C" w:rsidRPr="00D67307">
        <w:rPr>
          <w:rFonts w:ascii="Arial" w:hAnsi="Arial" w:cs="Arial"/>
          <w:sz w:val="24"/>
          <w:szCs w:val="24"/>
        </w:rPr>
        <w:t>in immune depleted subtype, as compared to other MFP subtypes.</w:t>
      </w:r>
      <w:r w:rsidR="00331291" w:rsidRPr="00D67307">
        <w:rPr>
          <w:rFonts w:ascii="Arial" w:hAnsi="Arial" w:cs="Arial"/>
          <w:sz w:val="24"/>
          <w:szCs w:val="24"/>
        </w:rPr>
        <w:t xml:space="preserve"> High risk somatic mutations </w:t>
      </w:r>
      <w:r w:rsidR="00331291" w:rsidRPr="00D67307">
        <w:rPr>
          <w:rFonts w:ascii="Arial" w:hAnsi="Arial" w:cs="Arial"/>
          <w:i/>
          <w:iCs/>
          <w:sz w:val="24"/>
          <w:szCs w:val="24"/>
        </w:rPr>
        <w:t>TP53, SMARCA4, NSD2, NOTCH1</w:t>
      </w:r>
      <w:r w:rsidR="00331291" w:rsidRPr="00D67307">
        <w:rPr>
          <w:rFonts w:ascii="Arial" w:hAnsi="Arial" w:cs="Arial"/>
          <w:sz w:val="24"/>
          <w:szCs w:val="24"/>
        </w:rPr>
        <w:t xml:space="preserve"> were dominant in immune depleted subtype</w:t>
      </w:r>
      <w:r w:rsidR="0003605D" w:rsidRPr="00D67307">
        <w:rPr>
          <w:rFonts w:ascii="Arial" w:hAnsi="Arial" w:cs="Arial"/>
          <w:sz w:val="24"/>
          <w:szCs w:val="24"/>
        </w:rPr>
        <w:t xml:space="preserve"> </w:t>
      </w:r>
      <w:r w:rsidR="0003605D" w:rsidRPr="00D67307">
        <w:rPr>
          <w:rFonts w:ascii="Arial" w:hAnsi="Arial" w:cs="Arial"/>
          <w:b/>
          <w:bCs/>
          <w:sz w:val="24"/>
          <w:szCs w:val="24"/>
        </w:rPr>
        <w:t>B)</w:t>
      </w:r>
      <w:r w:rsidR="0003605D" w:rsidRPr="00D67307">
        <w:rPr>
          <w:rFonts w:ascii="Arial" w:hAnsi="Arial" w:cs="Arial"/>
          <w:sz w:val="24"/>
          <w:szCs w:val="24"/>
        </w:rPr>
        <w:t xml:space="preserve"> </w:t>
      </w:r>
      <w:r w:rsidR="00380B6C" w:rsidRPr="00D67307">
        <w:rPr>
          <w:rFonts w:ascii="Arial" w:hAnsi="Arial" w:cs="Arial"/>
          <w:sz w:val="24"/>
          <w:szCs w:val="24"/>
        </w:rPr>
        <w:t>Tumor fraction purity</w:t>
      </w:r>
      <w:r w:rsidR="00103281" w:rsidRPr="00D67307">
        <w:rPr>
          <w:rFonts w:ascii="Arial" w:hAnsi="Arial" w:cs="Arial"/>
          <w:sz w:val="24"/>
          <w:szCs w:val="24"/>
        </w:rPr>
        <w:t xml:space="preserve"> </w:t>
      </w:r>
      <w:r w:rsidR="00380B6C" w:rsidRPr="00D67307">
        <w:rPr>
          <w:rFonts w:ascii="Arial" w:hAnsi="Arial" w:cs="Arial"/>
          <w:sz w:val="24"/>
          <w:szCs w:val="24"/>
        </w:rPr>
        <w:t>showing</w:t>
      </w:r>
      <w:r w:rsidR="00103281" w:rsidRPr="00D67307">
        <w:rPr>
          <w:rFonts w:ascii="Arial" w:hAnsi="Arial" w:cs="Arial"/>
          <w:sz w:val="24"/>
          <w:szCs w:val="24"/>
        </w:rPr>
        <w:t xml:space="preserve"> box plot</w:t>
      </w:r>
      <w:r w:rsidR="00380B6C" w:rsidRPr="00D67307">
        <w:rPr>
          <w:rFonts w:ascii="Arial" w:hAnsi="Arial" w:cs="Arial"/>
          <w:sz w:val="24"/>
          <w:szCs w:val="24"/>
        </w:rPr>
        <w:t>s</w:t>
      </w:r>
      <w:r w:rsidR="00103281" w:rsidRPr="00D67307">
        <w:rPr>
          <w:rFonts w:ascii="Arial" w:hAnsi="Arial" w:cs="Arial"/>
          <w:sz w:val="24"/>
          <w:szCs w:val="24"/>
        </w:rPr>
        <w:t xml:space="preserve"> with % cellularity of </w:t>
      </w:r>
      <w:r w:rsidR="00380B6C" w:rsidRPr="00D67307">
        <w:rPr>
          <w:rFonts w:ascii="Arial" w:hAnsi="Arial" w:cs="Arial"/>
          <w:sz w:val="24"/>
          <w:szCs w:val="24"/>
        </w:rPr>
        <w:t>mantle cell lymphoma (</w:t>
      </w:r>
      <w:r w:rsidR="00103281" w:rsidRPr="00D67307">
        <w:rPr>
          <w:rFonts w:ascii="Arial" w:hAnsi="Arial" w:cs="Arial"/>
          <w:sz w:val="24"/>
          <w:szCs w:val="24"/>
        </w:rPr>
        <w:t>MCL</w:t>
      </w:r>
      <w:r w:rsidR="00380B6C" w:rsidRPr="00D67307">
        <w:rPr>
          <w:rFonts w:ascii="Arial" w:hAnsi="Arial" w:cs="Arial"/>
          <w:sz w:val="24"/>
          <w:szCs w:val="24"/>
        </w:rPr>
        <w:t>)</w:t>
      </w:r>
      <w:r w:rsidR="00103281" w:rsidRPr="00D67307">
        <w:rPr>
          <w:rFonts w:ascii="Arial" w:hAnsi="Arial" w:cs="Arial"/>
          <w:sz w:val="24"/>
          <w:szCs w:val="24"/>
        </w:rPr>
        <w:t xml:space="preserve"> cells measured by </w:t>
      </w:r>
      <w:r w:rsidR="00380B6C" w:rsidRPr="00D67307">
        <w:rPr>
          <w:rFonts w:ascii="Arial" w:hAnsi="Arial" w:cs="Arial"/>
          <w:sz w:val="24"/>
          <w:szCs w:val="24"/>
        </w:rPr>
        <w:t>variant allele frequency (</w:t>
      </w:r>
      <w:r w:rsidR="00103281" w:rsidRPr="00D67307">
        <w:rPr>
          <w:rFonts w:ascii="Arial" w:hAnsi="Arial" w:cs="Arial"/>
          <w:sz w:val="24"/>
          <w:szCs w:val="24"/>
        </w:rPr>
        <w:t>VAF</w:t>
      </w:r>
      <w:r w:rsidR="00380B6C" w:rsidRPr="00D67307">
        <w:rPr>
          <w:rFonts w:ascii="Arial" w:hAnsi="Arial" w:cs="Arial"/>
          <w:sz w:val="24"/>
          <w:szCs w:val="24"/>
        </w:rPr>
        <w:t>)</w:t>
      </w:r>
      <w:r w:rsidR="00103281" w:rsidRPr="00D67307">
        <w:rPr>
          <w:rFonts w:ascii="Arial" w:hAnsi="Arial" w:cs="Arial"/>
          <w:sz w:val="24"/>
          <w:szCs w:val="24"/>
        </w:rPr>
        <w:t xml:space="preserve"> in DNA samples </w:t>
      </w:r>
      <w:r w:rsidR="00380B6C" w:rsidRPr="00D67307">
        <w:rPr>
          <w:rFonts w:ascii="Arial" w:hAnsi="Arial" w:cs="Arial"/>
          <w:sz w:val="24"/>
          <w:szCs w:val="24"/>
        </w:rPr>
        <w:t>according to the</w:t>
      </w:r>
      <w:r w:rsidR="00103281" w:rsidRPr="00D67307">
        <w:rPr>
          <w:rFonts w:ascii="Arial" w:hAnsi="Arial" w:cs="Arial"/>
          <w:sz w:val="24"/>
          <w:szCs w:val="24"/>
        </w:rPr>
        <w:t xml:space="preserve"> MFP subtype.</w:t>
      </w:r>
      <w:r w:rsidR="00380B6C" w:rsidRPr="00D67307">
        <w:rPr>
          <w:rFonts w:ascii="Arial" w:hAnsi="Arial" w:cs="Arial"/>
          <w:sz w:val="24"/>
          <w:szCs w:val="24"/>
        </w:rPr>
        <w:t xml:space="preserve"> </w:t>
      </w:r>
      <w:r w:rsidR="00C9065F" w:rsidRPr="00D67307">
        <w:rPr>
          <w:rFonts w:ascii="Arial" w:hAnsi="Arial" w:cs="Arial"/>
          <w:sz w:val="24"/>
          <w:szCs w:val="24"/>
        </w:rPr>
        <w:t>Except the immune enriched (green) subtype, other subtypes had equivalent % cellularity.</w:t>
      </w:r>
      <w:r w:rsidR="0003605D" w:rsidRPr="00D67307">
        <w:rPr>
          <w:rFonts w:ascii="Arial" w:hAnsi="Arial" w:cs="Arial"/>
          <w:sz w:val="24"/>
          <w:szCs w:val="24"/>
        </w:rPr>
        <w:t xml:space="preserve"> </w:t>
      </w:r>
      <w:r w:rsidR="0003605D" w:rsidRPr="00D67307">
        <w:rPr>
          <w:rFonts w:ascii="Arial" w:hAnsi="Arial" w:cs="Arial"/>
          <w:b/>
          <w:bCs/>
          <w:sz w:val="24"/>
          <w:szCs w:val="24"/>
        </w:rPr>
        <w:t>C)</w:t>
      </w:r>
      <w:r w:rsidR="0003605D" w:rsidRPr="00D67307">
        <w:rPr>
          <w:rFonts w:ascii="Arial" w:hAnsi="Arial" w:cs="Arial"/>
          <w:sz w:val="24"/>
          <w:szCs w:val="24"/>
        </w:rPr>
        <w:t xml:space="preserve"> </w:t>
      </w:r>
      <w:r w:rsidR="00C9065F" w:rsidRPr="00D67307">
        <w:rPr>
          <w:rFonts w:ascii="Arial" w:hAnsi="Arial" w:cs="Arial"/>
          <w:sz w:val="24"/>
          <w:szCs w:val="24"/>
        </w:rPr>
        <w:t>Chromosomal instability (</w:t>
      </w:r>
      <w:r w:rsidR="00331291" w:rsidRPr="00D67307">
        <w:rPr>
          <w:rFonts w:ascii="Arial" w:hAnsi="Arial" w:cs="Arial"/>
          <w:sz w:val="24"/>
          <w:szCs w:val="24"/>
        </w:rPr>
        <w:t>CIN) is</w:t>
      </w:r>
      <w:r w:rsidR="00C9065F" w:rsidRPr="00D67307">
        <w:rPr>
          <w:rFonts w:ascii="Arial" w:hAnsi="Arial" w:cs="Arial"/>
          <w:sz w:val="24"/>
          <w:szCs w:val="24"/>
        </w:rPr>
        <w:t xml:space="preserve"> shown by box plots according to the MFP subtype.</w:t>
      </w:r>
      <w:r w:rsidR="00DB2344" w:rsidRPr="00D67307">
        <w:rPr>
          <w:rFonts w:ascii="Arial" w:hAnsi="Arial" w:cs="Arial"/>
          <w:sz w:val="24"/>
          <w:szCs w:val="24"/>
        </w:rPr>
        <w:t xml:space="preserve"> Immune depleted (D in orange) cluster, mesenchymal (</w:t>
      </w:r>
      <w:r w:rsidR="00331291" w:rsidRPr="00D67307">
        <w:rPr>
          <w:rFonts w:ascii="Arial" w:hAnsi="Arial" w:cs="Arial"/>
          <w:sz w:val="24"/>
          <w:szCs w:val="24"/>
        </w:rPr>
        <w:t>M</w:t>
      </w:r>
      <w:r w:rsidR="00DB2344" w:rsidRPr="00D67307">
        <w:rPr>
          <w:rFonts w:ascii="Arial" w:hAnsi="Arial" w:cs="Arial"/>
          <w:sz w:val="24"/>
          <w:szCs w:val="24"/>
        </w:rPr>
        <w:t xml:space="preserve"> in red), immune enriched (B in blue) and normal lymph node like (A in green color). Both the immune desert subtypes, mesenchymal (red) and immune-depleted (orange) subtypes had a relatively higher Chromosomal instability</w:t>
      </w:r>
      <w:r w:rsidR="00C9065F" w:rsidRPr="00D67307">
        <w:rPr>
          <w:rFonts w:ascii="Arial" w:hAnsi="Arial" w:cs="Arial"/>
          <w:sz w:val="24"/>
          <w:szCs w:val="24"/>
        </w:rPr>
        <w:t xml:space="preserve"> </w:t>
      </w:r>
      <w:r w:rsidR="00C9065F" w:rsidRPr="00D67307">
        <w:rPr>
          <w:rFonts w:ascii="Arial" w:hAnsi="Arial" w:cs="Arial"/>
          <w:b/>
          <w:bCs/>
          <w:sz w:val="24"/>
          <w:szCs w:val="24"/>
        </w:rPr>
        <w:t>D)</w:t>
      </w:r>
      <w:r w:rsidR="00C9065F" w:rsidRPr="00D67307">
        <w:rPr>
          <w:rFonts w:ascii="Arial" w:hAnsi="Arial" w:cs="Arial"/>
          <w:sz w:val="24"/>
          <w:szCs w:val="24"/>
        </w:rPr>
        <w:t xml:space="preserve"> </w:t>
      </w:r>
      <w:r w:rsidR="00DB2344" w:rsidRPr="00D67307">
        <w:rPr>
          <w:rFonts w:ascii="Arial" w:hAnsi="Arial" w:cs="Arial"/>
          <w:sz w:val="24"/>
          <w:szCs w:val="24"/>
        </w:rPr>
        <w:t>Ploidy distribution</w:t>
      </w:r>
      <w:r w:rsidR="00103281" w:rsidRPr="00D67307">
        <w:rPr>
          <w:rFonts w:ascii="Arial" w:hAnsi="Arial" w:cs="Arial"/>
          <w:sz w:val="24"/>
          <w:szCs w:val="24"/>
        </w:rPr>
        <w:t xml:space="preserve"> </w:t>
      </w:r>
      <w:r w:rsidR="00AA7D40" w:rsidRPr="00D67307">
        <w:rPr>
          <w:rFonts w:ascii="Arial" w:hAnsi="Arial" w:cs="Arial"/>
          <w:sz w:val="24"/>
          <w:szCs w:val="24"/>
        </w:rPr>
        <w:t>shown by</w:t>
      </w:r>
      <w:r w:rsidR="00103281" w:rsidRPr="00D67307">
        <w:rPr>
          <w:rFonts w:ascii="Arial" w:hAnsi="Arial" w:cs="Arial"/>
          <w:sz w:val="24"/>
          <w:szCs w:val="24"/>
        </w:rPr>
        <w:t xml:space="preserve"> bar plot</w:t>
      </w:r>
      <w:r w:rsidR="00AA7D40" w:rsidRPr="00D67307">
        <w:rPr>
          <w:rFonts w:ascii="Arial" w:hAnsi="Arial" w:cs="Arial"/>
          <w:sz w:val="24"/>
          <w:szCs w:val="24"/>
        </w:rPr>
        <w:t>s</w:t>
      </w:r>
      <w:r w:rsidR="00103281" w:rsidRPr="00D67307">
        <w:rPr>
          <w:rFonts w:ascii="Arial" w:hAnsi="Arial" w:cs="Arial"/>
          <w:sz w:val="24"/>
          <w:szCs w:val="24"/>
        </w:rPr>
        <w:t xml:space="preserve"> with di- or tetraploidy tu</w:t>
      </w:r>
      <w:r w:rsidR="00AA7D40" w:rsidRPr="00D67307">
        <w:rPr>
          <w:rFonts w:ascii="Arial" w:hAnsi="Arial" w:cs="Arial"/>
          <w:sz w:val="24"/>
          <w:szCs w:val="24"/>
        </w:rPr>
        <w:t>m</w:t>
      </w:r>
      <w:r w:rsidR="00103281" w:rsidRPr="00D67307">
        <w:rPr>
          <w:rFonts w:ascii="Arial" w:hAnsi="Arial" w:cs="Arial"/>
          <w:sz w:val="24"/>
          <w:szCs w:val="24"/>
        </w:rPr>
        <w:t xml:space="preserve">ors by MFP subtype. </w:t>
      </w:r>
      <w:r w:rsidR="00B36574" w:rsidRPr="00D67307">
        <w:rPr>
          <w:rFonts w:ascii="Arial" w:hAnsi="Arial" w:cs="Arial"/>
          <w:sz w:val="24"/>
          <w:szCs w:val="24"/>
        </w:rPr>
        <w:t xml:space="preserve">2N – diploid tumors and 4N – tetraploid tumors </w:t>
      </w:r>
      <w:r w:rsidR="00C9065F" w:rsidRPr="00D67307">
        <w:rPr>
          <w:rFonts w:ascii="Arial" w:hAnsi="Arial" w:cs="Arial"/>
          <w:b/>
          <w:bCs/>
          <w:sz w:val="24"/>
          <w:szCs w:val="24"/>
        </w:rPr>
        <w:t>E</w:t>
      </w:r>
      <w:r w:rsidR="0003605D" w:rsidRPr="00D67307">
        <w:rPr>
          <w:rFonts w:ascii="Arial" w:hAnsi="Arial" w:cs="Arial"/>
          <w:b/>
          <w:bCs/>
          <w:sz w:val="24"/>
          <w:szCs w:val="24"/>
        </w:rPr>
        <w:t>)</w:t>
      </w:r>
      <w:r w:rsidR="0003605D" w:rsidRPr="00D67307">
        <w:rPr>
          <w:rFonts w:ascii="Arial" w:hAnsi="Arial" w:cs="Arial"/>
          <w:sz w:val="24"/>
          <w:szCs w:val="24"/>
        </w:rPr>
        <w:t xml:space="preserve"> </w:t>
      </w:r>
      <w:r w:rsidR="00B36574" w:rsidRPr="00D67307">
        <w:rPr>
          <w:rFonts w:ascii="Arial" w:hAnsi="Arial" w:cs="Arial"/>
          <w:sz w:val="24"/>
          <w:szCs w:val="24"/>
        </w:rPr>
        <w:t>Copy number abnormalities (CNA)</w:t>
      </w:r>
      <w:r w:rsidR="00103281" w:rsidRPr="00D67307">
        <w:rPr>
          <w:rFonts w:ascii="Arial" w:hAnsi="Arial" w:cs="Arial"/>
          <w:sz w:val="24"/>
          <w:szCs w:val="24"/>
        </w:rPr>
        <w:t xml:space="preserve"> – CNA plot</w:t>
      </w:r>
      <w:r w:rsidR="00B36574" w:rsidRPr="00D67307">
        <w:rPr>
          <w:rFonts w:ascii="Arial" w:hAnsi="Arial" w:cs="Arial"/>
          <w:sz w:val="24"/>
          <w:szCs w:val="24"/>
        </w:rPr>
        <w:t>s are shown</w:t>
      </w:r>
      <w:r w:rsidR="00103281" w:rsidRPr="00D67307">
        <w:rPr>
          <w:rFonts w:ascii="Arial" w:hAnsi="Arial" w:cs="Arial"/>
          <w:sz w:val="24"/>
          <w:szCs w:val="24"/>
        </w:rPr>
        <w:t xml:space="preserve"> with amplifications </w:t>
      </w:r>
      <w:proofErr w:type="gramStart"/>
      <w:r w:rsidR="00103281" w:rsidRPr="00D67307">
        <w:rPr>
          <w:rFonts w:ascii="Arial" w:hAnsi="Arial" w:cs="Arial"/>
          <w:sz w:val="24"/>
          <w:szCs w:val="24"/>
        </w:rPr>
        <w:t>(</w:t>
      </w:r>
      <w:r w:rsidR="00B36574" w:rsidRPr="00D67307">
        <w:rPr>
          <w:rFonts w:ascii="Arial" w:hAnsi="Arial" w:cs="Arial"/>
          <w:sz w:val="24"/>
          <w:szCs w:val="24"/>
        </w:rPr>
        <w:t xml:space="preserve"> in</w:t>
      </w:r>
      <w:proofErr w:type="gramEnd"/>
      <w:r w:rsidR="00B36574" w:rsidRPr="00D67307">
        <w:rPr>
          <w:rFonts w:ascii="Arial" w:hAnsi="Arial" w:cs="Arial"/>
          <w:sz w:val="24"/>
          <w:szCs w:val="24"/>
        </w:rPr>
        <w:t xml:space="preserve"> </w:t>
      </w:r>
      <w:r w:rsidR="00103281" w:rsidRPr="00D67307">
        <w:rPr>
          <w:rFonts w:ascii="Arial" w:hAnsi="Arial" w:cs="Arial"/>
          <w:sz w:val="24"/>
          <w:szCs w:val="24"/>
        </w:rPr>
        <w:t>red) and deletions (</w:t>
      </w:r>
      <w:r w:rsidR="00B36574" w:rsidRPr="00D67307">
        <w:rPr>
          <w:rFonts w:ascii="Arial" w:hAnsi="Arial" w:cs="Arial"/>
          <w:sz w:val="24"/>
          <w:szCs w:val="24"/>
        </w:rPr>
        <w:t xml:space="preserve"> in </w:t>
      </w:r>
      <w:r w:rsidR="00103281" w:rsidRPr="00D67307">
        <w:rPr>
          <w:rFonts w:ascii="Arial" w:hAnsi="Arial" w:cs="Arial"/>
          <w:sz w:val="24"/>
          <w:szCs w:val="24"/>
        </w:rPr>
        <w:t>blue) of chromosomal regions per patient.</w:t>
      </w:r>
      <w:r w:rsidR="00C333AF" w:rsidRPr="00D67307">
        <w:rPr>
          <w:rFonts w:ascii="Arial" w:hAnsi="Arial" w:cs="Arial"/>
          <w:sz w:val="24"/>
          <w:szCs w:val="24"/>
        </w:rPr>
        <w:t xml:space="preserve"> </w:t>
      </w:r>
    </w:p>
    <w:p w14:paraId="5742EB4D" w14:textId="57D81A76" w:rsidR="0061240B" w:rsidRPr="00D67307" w:rsidRDefault="0061240B" w:rsidP="00E27957">
      <w:pPr>
        <w:spacing w:line="276" w:lineRule="auto"/>
        <w:ind w:left="1080" w:hanging="1080"/>
        <w:jc w:val="both"/>
        <w:rPr>
          <w:rFonts w:ascii="Arial" w:hAnsi="Arial" w:cs="Arial"/>
          <w:bCs/>
          <w:sz w:val="24"/>
          <w:szCs w:val="24"/>
        </w:rPr>
      </w:pPr>
      <w:r w:rsidRPr="00D67307">
        <w:rPr>
          <w:rFonts w:ascii="Arial" w:hAnsi="Arial" w:cs="Arial"/>
          <w:b/>
          <w:noProof/>
          <w:sz w:val="24"/>
          <w:szCs w:val="24"/>
        </w:rPr>
        <w:t xml:space="preserve">Supplemental figure </w:t>
      </w:r>
      <w:r w:rsidR="00DE6C77" w:rsidRPr="00D67307">
        <w:rPr>
          <w:rFonts w:ascii="Arial" w:hAnsi="Arial" w:cs="Arial"/>
          <w:b/>
          <w:noProof/>
          <w:sz w:val="24"/>
          <w:szCs w:val="24"/>
        </w:rPr>
        <w:t>5</w:t>
      </w:r>
      <w:r w:rsidRPr="00D67307">
        <w:rPr>
          <w:rFonts w:ascii="Arial" w:hAnsi="Arial" w:cs="Arial"/>
          <w:b/>
          <w:noProof/>
          <w:sz w:val="24"/>
          <w:szCs w:val="24"/>
        </w:rPr>
        <w:t xml:space="preserve">: </w:t>
      </w:r>
      <w:r w:rsidR="00161C49" w:rsidRPr="00D67307">
        <w:rPr>
          <w:rFonts w:ascii="Arial" w:hAnsi="Arial" w:cs="Arial"/>
          <w:b/>
          <w:noProof/>
          <w:sz w:val="24"/>
          <w:szCs w:val="24"/>
        </w:rPr>
        <w:t xml:space="preserve">Oncoplots with </w:t>
      </w:r>
      <w:r w:rsidR="00161C49" w:rsidRPr="00D67307">
        <w:rPr>
          <w:rFonts w:ascii="Arial" w:hAnsi="Arial" w:cs="Arial"/>
          <w:b/>
          <w:sz w:val="24"/>
          <w:szCs w:val="24"/>
        </w:rPr>
        <w:t xml:space="preserve">mutations </w:t>
      </w:r>
      <w:r w:rsidR="001F3C91" w:rsidRPr="00D67307">
        <w:rPr>
          <w:rFonts w:ascii="Arial" w:hAnsi="Arial" w:cs="Arial"/>
          <w:b/>
          <w:sz w:val="24"/>
          <w:szCs w:val="24"/>
        </w:rPr>
        <w:t>within the four</w:t>
      </w:r>
      <w:r w:rsidR="002471C6" w:rsidRPr="00D67307">
        <w:rPr>
          <w:rFonts w:ascii="Arial" w:hAnsi="Arial" w:cs="Arial"/>
          <w:b/>
          <w:sz w:val="24"/>
          <w:szCs w:val="24"/>
        </w:rPr>
        <w:t xml:space="preserve"> </w:t>
      </w:r>
      <w:r w:rsidR="001F3C91" w:rsidRPr="00D67307">
        <w:rPr>
          <w:rFonts w:ascii="Arial" w:hAnsi="Arial" w:cs="Arial"/>
          <w:b/>
          <w:sz w:val="24"/>
          <w:szCs w:val="24"/>
        </w:rPr>
        <w:t>m</w:t>
      </w:r>
      <w:r w:rsidR="002471C6" w:rsidRPr="00D67307">
        <w:rPr>
          <w:rFonts w:ascii="Arial" w:hAnsi="Arial" w:cs="Arial"/>
          <w:b/>
          <w:sz w:val="24"/>
          <w:szCs w:val="24"/>
        </w:rPr>
        <w:t xml:space="preserve">olecular </w:t>
      </w:r>
      <w:r w:rsidR="001F3C91" w:rsidRPr="00D67307">
        <w:rPr>
          <w:rFonts w:ascii="Arial" w:hAnsi="Arial" w:cs="Arial"/>
          <w:b/>
          <w:sz w:val="24"/>
          <w:szCs w:val="24"/>
        </w:rPr>
        <w:t>f</w:t>
      </w:r>
      <w:r w:rsidR="002471C6" w:rsidRPr="00D67307">
        <w:rPr>
          <w:rFonts w:ascii="Arial" w:hAnsi="Arial" w:cs="Arial"/>
          <w:b/>
          <w:sz w:val="24"/>
          <w:szCs w:val="24"/>
        </w:rPr>
        <w:t xml:space="preserve">unctional </w:t>
      </w:r>
      <w:r w:rsidR="001F3C91" w:rsidRPr="00D67307">
        <w:rPr>
          <w:rFonts w:ascii="Arial" w:hAnsi="Arial" w:cs="Arial"/>
          <w:b/>
          <w:sz w:val="24"/>
          <w:szCs w:val="24"/>
        </w:rPr>
        <w:t>p</w:t>
      </w:r>
      <w:r w:rsidR="002471C6" w:rsidRPr="00D67307">
        <w:rPr>
          <w:rFonts w:ascii="Arial" w:hAnsi="Arial" w:cs="Arial"/>
          <w:b/>
          <w:sz w:val="24"/>
          <w:szCs w:val="24"/>
        </w:rPr>
        <w:t xml:space="preserve">ortrait </w:t>
      </w:r>
      <w:r w:rsidR="001F3C91" w:rsidRPr="00D67307">
        <w:rPr>
          <w:rFonts w:ascii="Arial" w:hAnsi="Arial" w:cs="Arial"/>
          <w:b/>
          <w:sz w:val="24"/>
          <w:szCs w:val="24"/>
        </w:rPr>
        <w:t xml:space="preserve">clusters </w:t>
      </w:r>
      <w:r w:rsidR="002471C6" w:rsidRPr="00D67307">
        <w:rPr>
          <w:rFonts w:ascii="Arial" w:hAnsi="Arial" w:cs="Arial"/>
          <w:b/>
          <w:sz w:val="24"/>
          <w:szCs w:val="24"/>
        </w:rPr>
        <w:t xml:space="preserve">(MFP) </w:t>
      </w:r>
      <w:r w:rsidR="001F3C91" w:rsidRPr="00D67307">
        <w:rPr>
          <w:rFonts w:ascii="Arial" w:hAnsi="Arial" w:cs="Arial"/>
          <w:b/>
          <w:sz w:val="24"/>
          <w:szCs w:val="24"/>
        </w:rPr>
        <w:t xml:space="preserve">and </w:t>
      </w:r>
      <w:r w:rsidR="00161C49" w:rsidRPr="00D67307">
        <w:rPr>
          <w:rFonts w:ascii="Arial" w:hAnsi="Arial" w:cs="Arial"/>
          <w:b/>
          <w:sz w:val="24"/>
          <w:szCs w:val="24"/>
        </w:rPr>
        <w:t xml:space="preserve">arranged by </w:t>
      </w:r>
      <w:r w:rsidR="001F3C91" w:rsidRPr="00D67307">
        <w:rPr>
          <w:rFonts w:ascii="Arial" w:hAnsi="Arial" w:cs="Arial"/>
          <w:b/>
          <w:sz w:val="24"/>
          <w:szCs w:val="24"/>
        </w:rPr>
        <w:t xml:space="preserve">functional genetic </w:t>
      </w:r>
      <w:r w:rsidR="00161C49" w:rsidRPr="00D67307">
        <w:rPr>
          <w:rFonts w:ascii="Arial" w:hAnsi="Arial" w:cs="Arial"/>
          <w:b/>
          <w:sz w:val="24"/>
          <w:szCs w:val="24"/>
        </w:rPr>
        <w:t>pathways</w:t>
      </w:r>
      <w:r w:rsidR="005731FB" w:rsidRPr="00D67307">
        <w:rPr>
          <w:rFonts w:ascii="Arial" w:hAnsi="Arial" w:cs="Arial"/>
          <w:b/>
          <w:sz w:val="24"/>
          <w:szCs w:val="24"/>
        </w:rPr>
        <w:t xml:space="preserve"> and response to BTKi</w:t>
      </w:r>
      <w:r w:rsidR="00161C49" w:rsidRPr="00D67307">
        <w:rPr>
          <w:rFonts w:ascii="Arial" w:hAnsi="Arial" w:cs="Arial"/>
          <w:b/>
          <w:sz w:val="24"/>
          <w:szCs w:val="24"/>
        </w:rPr>
        <w:t>.</w:t>
      </w:r>
      <w:r w:rsidR="002471C6" w:rsidRPr="00D67307">
        <w:rPr>
          <w:rFonts w:ascii="Arial" w:hAnsi="Arial" w:cs="Arial"/>
          <w:b/>
          <w:sz w:val="24"/>
          <w:szCs w:val="24"/>
        </w:rPr>
        <w:t xml:space="preserve"> </w:t>
      </w:r>
      <w:r w:rsidR="008969DE" w:rsidRPr="00D67307">
        <w:rPr>
          <w:rFonts w:ascii="Arial" w:hAnsi="Arial" w:cs="Arial"/>
          <w:bCs/>
          <w:sz w:val="24"/>
          <w:szCs w:val="24"/>
        </w:rPr>
        <w:t>Immune depleted subtype (orange on top bar) showed maximum aberrancies in cell cycle and chromati</w:t>
      </w:r>
      <w:r w:rsidR="007A4802" w:rsidRPr="00D67307">
        <w:rPr>
          <w:rFonts w:ascii="Arial" w:hAnsi="Arial" w:cs="Arial"/>
          <w:bCs/>
          <w:sz w:val="24"/>
          <w:szCs w:val="24"/>
        </w:rPr>
        <w:t>n</w:t>
      </w:r>
      <w:r w:rsidR="008969DE" w:rsidRPr="00D67307">
        <w:rPr>
          <w:rFonts w:ascii="Arial" w:hAnsi="Arial" w:cs="Arial"/>
          <w:bCs/>
          <w:sz w:val="24"/>
          <w:szCs w:val="24"/>
        </w:rPr>
        <w:t xml:space="preserve"> remodeling pathway with clusters of mutations in genes</w:t>
      </w:r>
      <w:r w:rsidR="00DD64C5" w:rsidRPr="00D67307">
        <w:rPr>
          <w:rFonts w:ascii="Arial" w:hAnsi="Arial" w:cs="Arial"/>
          <w:bCs/>
          <w:sz w:val="24"/>
          <w:szCs w:val="24"/>
        </w:rPr>
        <w:t xml:space="preserve"> involved in these genetic pathways</w:t>
      </w:r>
      <w:r w:rsidR="008969DE" w:rsidRPr="00D67307">
        <w:rPr>
          <w:rFonts w:ascii="Arial" w:hAnsi="Arial" w:cs="Arial"/>
          <w:bCs/>
          <w:sz w:val="24"/>
          <w:szCs w:val="24"/>
        </w:rPr>
        <w:t>.</w:t>
      </w:r>
    </w:p>
    <w:p w14:paraId="39D2D267" w14:textId="01C799C4" w:rsidR="00C432B6" w:rsidRPr="00D67307" w:rsidRDefault="00DE6C77" w:rsidP="00E27957">
      <w:pPr>
        <w:spacing w:line="276" w:lineRule="auto"/>
        <w:ind w:left="990" w:hanging="990"/>
        <w:jc w:val="both"/>
        <w:rPr>
          <w:rFonts w:ascii="Arial" w:hAnsi="Arial" w:cs="Arial"/>
          <w:sz w:val="24"/>
          <w:szCs w:val="24"/>
        </w:rPr>
      </w:pPr>
      <w:r w:rsidRPr="00D67307">
        <w:rPr>
          <w:rFonts w:ascii="Arial" w:hAnsi="Arial" w:cs="Arial"/>
          <w:b/>
          <w:noProof/>
          <w:sz w:val="24"/>
          <w:szCs w:val="24"/>
        </w:rPr>
        <w:t xml:space="preserve">Supplemental figure 6: </w:t>
      </w:r>
      <w:r w:rsidR="00E852E2" w:rsidRPr="00D67307">
        <w:rPr>
          <w:rFonts w:ascii="Arial" w:hAnsi="Arial" w:cs="Arial"/>
          <w:b/>
          <w:noProof/>
          <w:sz w:val="24"/>
          <w:szCs w:val="24"/>
        </w:rPr>
        <w:t>Patterns of</w:t>
      </w:r>
      <w:r w:rsidR="00E852E2" w:rsidRPr="00D67307">
        <w:rPr>
          <w:rFonts w:ascii="Arial" w:hAnsi="Arial" w:cs="Arial"/>
          <w:b/>
          <w:sz w:val="24"/>
          <w:szCs w:val="24"/>
        </w:rPr>
        <w:t xml:space="preserve"> immunoglobulin heavy chain variable region genes (IGHV) in mantle cell lymphoma (MCL) and distribution according to the four molecular functional portrait </w:t>
      </w:r>
      <w:r w:rsidR="00DD496B" w:rsidRPr="00D67307">
        <w:rPr>
          <w:rFonts w:ascii="Arial" w:hAnsi="Arial" w:cs="Arial"/>
          <w:b/>
          <w:sz w:val="24"/>
          <w:szCs w:val="24"/>
        </w:rPr>
        <w:t xml:space="preserve">(MFP) </w:t>
      </w:r>
      <w:r w:rsidR="00E852E2" w:rsidRPr="00D67307">
        <w:rPr>
          <w:rFonts w:ascii="Arial" w:hAnsi="Arial" w:cs="Arial"/>
          <w:b/>
          <w:sz w:val="24"/>
          <w:szCs w:val="24"/>
        </w:rPr>
        <w:t xml:space="preserve">clusters. A) </w:t>
      </w:r>
      <w:r w:rsidR="005731FB" w:rsidRPr="00D67307">
        <w:rPr>
          <w:rFonts w:ascii="Arial" w:hAnsi="Arial" w:cs="Arial"/>
          <w:sz w:val="24"/>
          <w:szCs w:val="24"/>
        </w:rPr>
        <w:t>The</w:t>
      </w:r>
      <w:r w:rsidR="00E852E2" w:rsidRPr="00D67307">
        <w:rPr>
          <w:rFonts w:ascii="Arial" w:hAnsi="Arial" w:cs="Arial"/>
          <w:sz w:val="24"/>
          <w:szCs w:val="24"/>
        </w:rPr>
        <w:t xml:space="preserve"> distribution of </w:t>
      </w:r>
      <w:r w:rsidR="00722B1C" w:rsidRPr="00D67307">
        <w:rPr>
          <w:rFonts w:ascii="Arial" w:hAnsi="Arial" w:cs="Arial"/>
          <w:sz w:val="24"/>
          <w:szCs w:val="24"/>
        </w:rPr>
        <w:t>IGHV</w:t>
      </w:r>
      <w:r w:rsidR="00E852E2" w:rsidRPr="00D67307">
        <w:rPr>
          <w:rFonts w:ascii="Arial" w:hAnsi="Arial" w:cs="Arial"/>
          <w:sz w:val="24"/>
          <w:szCs w:val="24"/>
        </w:rPr>
        <w:t xml:space="preserve"> gene usage </w:t>
      </w:r>
      <w:r w:rsidR="00722B1C" w:rsidRPr="00D67307">
        <w:rPr>
          <w:rFonts w:ascii="Arial" w:hAnsi="Arial" w:cs="Arial"/>
          <w:sz w:val="24"/>
          <w:szCs w:val="24"/>
        </w:rPr>
        <w:t xml:space="preserve">of the dominant (tumor) </w:t>
      </w:r>
      <w:r w:rsidR="00E852E2" w:rsidRPr="00D67307">
        <w:rPr>
          <w:rFonts w:ascii="Arial" w:hAnsi="Arial" w:cs="Arial"/>
          <w:sz w:val="24"/>
          <w:szCs w:val="24"/>
        </w:rPr>
        <w:t>B cell receptor (</w:t>
      </w:r>
      <w:r w:rsidR="00722B1C" w:rsidRPr="00D67307">
        <w:rPr>
          <w:rFonts w:ascii="Arial" w:hAnsi="Arial" w:cs="Arial"/>
          <w:sz w:val="24"/>
          <w:szCs w:val="24"/>
        </w:rPr>
        <w:t>BCR</w:t>
      </w:r>
      <w:r w:rsidR="00E852E2" w:rsidRPr="00D67307">
        <w:rPr>
          <w:rFonts w:ascii="Arial" w:hAnsi="Arial" w:cs="Arial"/>
          <w:sz w:val="24"/>
          <w:szCs w:val="24"/>
        </w:rPr>
        <w:t>)</w:t>
      </w:r>
      <w:r w:rsidR="00722B1C" w:rsidRPr="00D67307">
        <w:rPr>
          <w:rFonts w:ascii="Arial" w:hAnsi="Arial" w:cs="Arial"/>
          <w:sz w:val="24"/>
          <w:szCs w:val="24"/>
        </w:rPr>
        <w:t xml:space="preserve"> clones in MCL </w:t>
      </w:r>
      <w:r w:rsidR="00E852E2" w:rsidRPr="00D67307">
        <w:rPr>
          <w:rFonts w:ascii="Arial" w:hAnsi="Arial" w:cs="Arial"/>
          <w:sz w:val="24"/>
          <w:szCs w:val="24"/>
        </w:rPr>
        <w:t>p</w:t>
      </w:r>
      <w:r w:rsidR="00722B1C" w:rsidRPr="00D67307">
        <w:rPr>
          <w:rFonts w:ascii="Arial" w:hAnsi="Arial" w:cs="Arial"/>
          <w:sz w:val="24"/>
          <w:szCs w:val="24"/>
        </w:rPr>
        <w:t>atients.</w:t>
      </w:r>
      <w:r w:rsidR="00F2514B" w:rsidRPr="00D67307">
        <w:rPr>
          <w:rFonts w:ascii="Arial" w:hAnsi="Arial" w:cs="Arial"/>
          <w:sz w:val="24"/>
          <w:szCs w:val="24"/>
        </w:rPr>
        <w:t xml:space="preserve"> VH3-21, VH 3-23, VH 4-34, VH4-31, VH 4-59 and VH5-51 were predominant</w:t>
      </w:r>
      <w:r w:rsidR="00E852E2" w:rsidRPr="00D67307">
        <w:rPr>
          <w:rFonts w:ascii="Arial" w:hAnsi="Arial" w:cs="Arial"/>
          <w:sz w:val="24"/>
          <w:szCs w:val="24"/>
        </w:rPr>
        <w:t xml:space="preserve"> </w:t>
      </w:r>
      <w:r w:rsidR="00E852E2" w:rsidRPr="00D67307">
        <w:rPr>
          <w:rFonts w:ascii="Arial" w:hAnsi="Arial" w:cs="Arial"/>
          <w:b/>
          <w:bCs/>
          <w:sz w:val="24"/>
          <w:szCs w:val="24"/>
        </w:rPr>
        <w:t>B)</w:t>
      </w:r>
      <w:r w:rsidR="00E852E2" w:rsidRPr="00D67307">
        <w:rPr>
          <w:rFonts w:ascii="Arial" w:hAnsi="Arial" w:cs="Arial"/>
          <w:sz w:val="24"/>
          <w:szCs w:val="24"/>
        </w:rPr>
        <w:t xml:space="preserve"> </w:t>
      </w:r>
      <w:r w:rsidR="00722B1C" w:rsidRPr="00D67307">
        <w:rPr>
          <w:rFonts w:ascii="Arial" w:hAnsi="Arial" w:cs="Arial"/>
          <w:sz w:val="24"/>
          <w:szCs w:val="24"/>
        </w:rPr>
        <w:t xml:space="preserve">IGHV gene segment usage frequencies of the dominant (tumor) BCR clone </w:t>
      </w:r>
      <w:r w:rsidR="00E852E2" w:rsidRPr="00D67307">
        <w:rPr>
          <w:rFonts w:ascii="Arial" w:hAnsi="Arial" w:cs="Arial"/>
          <w:sz w:val="24"/>
          <w:szCs w:val="24"/>
        </w:rPr>
        <w:t xml:space="preserve">and distribution according to </w:t>
      </w:r>
      <w:r w:rsidR="00722B1C" w:rsidRPr="00D67307">
        <w:rPr>
          <w:rFonts w:ascii="Arial" w:hAnsi="Arial" w:cs="Arial"/>
          <w:sz w:val="24"/>
          <w:szCs w:val="24"/>
        </w:rPr>
        <w:t>BTKi sensitivity.</w:t>
      </w:r>
      <w:r w:rsidR="00D5501A" w:rsidRPr="00D67307">
        <w:rPr>
          <w:rFonts w:ascii="Arial" w:hAnsi="Arial" w:cs="Arial"/>
          <w:sz w:val="24"/>
          <w:szCs w:val="24"/>
        </w:rPr>
        <w:t xml:space="preserve"> VH3-21</w:t>
      </w:r>
      <w:r w:rsidR="0053066C" w:rsidRPr="00D67307">
        <w:rPr>
          <w:rFonts w:ascii="Arial" w:hAnsi="Arial" w:cs="Arial"/>
          <w:sz w:val="24"/>
          <w:szCs w:val="24"/>
        </w:rPr>
        <w:t xml:space="preserve"> (pink)</w:t>
      </w:r>
      <w:r w:rsidR="00D5501A" w:rsidRPr="00D67307">
        <w:rPr>
          <w:rFonts w:ascii="Arial" w:hAnsi="Arial" w:cs="Arial"/>
          <w:sz w:val="24"/>
          <w:szCs w:val="24"/>
        </w:rPr>
        <w:t xml:space="preserve"> and VH 3-23</w:t>
      </w:r>
      <w:r w:rsidR="0053066C" w:rsidRPr="00D67307">
        <w:rPr>
          <w:rFonts w:ascii="Arial" w:hAnsi="Arial" w:cs="Arial"/>
          <w:sz w:val="24"/>
          <w:szCs w:val="24"/>
        </w:rPr>
        <w:t xml:space="preserve"> (red)</w:t>
      </w:r>
      <w:r w:rsidR="00D5501A" w:rsidRPr="00D67307">
        <w:rPr>
          <w:rFonts w:ascii="Arial" w:hAnsi="Arial" w:cs="Arial"/>
          <w:sz w:val="24"/>
          <w:szCs w:val="24"/>
        </w:rPr>
        <w:t xml:space="preserve"> were dominant in ibrutinib resistant patient samples</w:t>
      </w:r>
      <w:r w:rsidR="00E852E2" w:rsidRPr="00D67307">
        <w:rPr>
          <w:rFonts w:ascii="Arial" w:hAnsi="Arial" w:cs="Arial"/>
          <w:sz w:val="24"/>
          <w:szCs w:val="24"/>
        </w:rPr>
        <w:t xml:space="preserve"> </w:t>
      </w:r>
      <w:r w:rsidR="00E852E2" w:rsidRPr="00D67307">
        <w:rPr>
          <w:rFonts w:ascii="Arial" w:hAnsi="Arial" w:cs="Arial"/>
          <w:b/>
          <w:bCs/>
          <w:sz w:val="24"/>
          <w:szCs w:val="24"/>
        </w:rPr>
        <w:t>C)</w:t>
      </w:r>
      <w:r w:rsidR="00E852E2" w:rsidRPr="00D67307">
        <w:rPr>
          <w:rFonts w:ascii="Arial" w:hAnsi="Arial" w:cs="Arial"/>
          <w:sz w:val="24"/>
          <w:szCs w:val="24"/>
        </w:rPr>
        <w:t xml:space="preserve"> S</w:t>
      </w:r>
      <w:r w:rsidR="00722B1C" w:rsidRPr="00D67307">
        <w:rPr>
          <w:rFonts w:ascii="Arial" w:hAnsi="Arial" w:cs="Arial"/>
          <w:sz w:val="24"/>
          <w:szCs w:val="24"/>
        </w:rPr>
        <w:t xml:space="preserve">tacked bar charts of the dominant (tumor) BCR clone </w:t>
      </w:r>
      <w:r w:rsidR="0053066C" w:rsidRPr="00D67307">
        <w:rPr>
          <w:rFonts w:ascii="Arial" w:hAnsi="Arial" w:cs="Arial"/>
          <w:sz w:val="24"/>
          <w:szCs w:val="24"/>
        </w:rPr>
        <w:t xml:space="preserve">and </w:t>
      </w:r>
      <w:r w:rsidR="00722B1C" w:rsidRPr="00D67307">
        <w:rPr>
          <w:rFonts w:ascii="Arial" w:hAnsi="Arial" w:cs="Arial"/>
          <w:sz w:val="24"/>
          <w:szCs w:val="24"/>
        </w:rPr>
        <w:t xml:space="preserve">IGHV gene segment usage with number of </w:t>
      </w:r>
      <w:r w:rsidR="0053066C" w:rsidRPr="00D67307">
        <w:rPr>
          <w:rFonts w:ascii="Arial" w:hAnsi="Arial" w:cs="Arial"/>
          <w:sz w:val="24"/>
          <w:szCs w:val="24"/>
        </w:rPr>
        <w:t xml:space="preserve">patients within the 4 </w:t>
      </w:r>
      <w:r w:rsidR="00722B1C" w:rsidRPr="00D67307">
        <w:rPr>
          <w:rFonts w:ascii="Arial" w:hAnsi="Arial" w:cs="Arial"/>
          <w:sz w:val="24"/>
          <w:szCs w:val="24"/>
        </w:rPr>
        <w:t>MFP clusters.</w:t>
      </w:r>
      <w:r w:rsidR="0053066C" w:rsidRPr="00D67307">
        <w:rPr>
          <w:rFonts w:ascii="Arial" w:hAnsi="Arial" w:cs="Arial"/>
          <w:sz w:val="24"/>
          <w:szCs w:val="24"/>
        </w:rPr>
        <w:t xml:space="preserve"> VH3-21 (pink) and VH 3-23 (red) </w:t>
      </w:r>
      <w:r w:rsidR="0053066C" w:rsidRPr="00D67307">
        <w:rPr>
          <w:rFonts w:ascii="Arial" w:hAnsi="Arial" w:cs="Arial"/>
          <w:sz w:val="24"/>
          <w:szCs w:val="24"/>
        </w:rPr>
        <w:lastRenderedPageBreak/>
        <w:t>were noted in immune depleted (D) and mesenchymal (C) subtypes</w:t>
      </w:r>
      <w:r w:rsidR="00E852E2" w:rsidRPr="00D67307">
        <w:rPr>
          <w:rFonts w:ascii="Arial" w:hAnsi="Arial" w:cs="Arial"/>
          <w:sz w:val="24"/>
          <w:szCs w:val="24"/>
        </w:rPr>
        <w:t xml:space="preserve"> </w:t>
      </w:r>
      <w:r w:rsidR="00E852E2" w:rsidRPr="00D67307">
        <w:rPr>
          <w:rFonts w:ascii="Arial" w:hAnsi="Arial" w:cs="Arial"/>
          <w:b/>
          <w:bCs/>
          <w:sz w:val="24"/>
          <w:szCs w:val="24"/>
        </w:rPr>
        <w:t>D)</w:t>
      </w:r>
      <w:r w:rsidR="00E852E2" w:rsidRPr="00D67307">
        <w:rPr>
          <w:rFonts w:ascii="Arial" w:hAnsi="Arial" w:cs="Arial"/>
          <w:sz w:val="24"/>
          <w:szCs w:val="24"/>
        </w:rPr>
        <w:t xml:space="preserve"> B</w:t>
      </w:r>
      <w:r w:rsidR="00722B1C" w:rsidRPr="00D67307">
        <w:rPr>
          <w:rFonts w:ascii="Arial" w:hAnsi="Arial" w:cs="Arial"/>
          <w:sz w:val="24"/>
          <w:szCs w:val="24"/>
        </w:rPr>
        <w:t xml:space="preserve">ox plots with </w:t>
      </w:r>
      <w:r w:rsidR="004A7D79" w:rsidRPr="00D67307">
        <w:rPr>
          <w:rFonts w:ascii="Arial" w:hAnsi="Arial" w:cs="Arial"/>
          <w:sz w:val="24"/>
          <w:szCs w:val="24"/>
        </w:rPr>
        <w:t>t</w:t>
      </w:r>
      <w:r w:rsidR="00C432B6" w:rsidRPr="00D67307">
        <w:rPr>
          <w:rFonts w:ascii="Arial" w:hAnsi="Arial" w:cs="Arial"/>
          <w:sz w:val="24"/>
          <w:szCs w:val="24"/>
        </w:rPr>
        <w:t>he fraction (in %) of the tumor clone (measured by the counting of CDR3</w:t>
      </w:r>
      <w:r w:rsidR="00B001F2" w:rsidRPr="00D67307">
        <w:rPr>
          <w:rFonts w:ascii="Arial" w:hAnsi="Arial" w:cs="Arial"/>
          <w:sz w:val="24"/>
          <w:szCs w:val="24"/>
        </w:rPr>
        <w:t xml:space="preserve"> amino acid</w:t>
      </w:r>
      <w:r w:rsidR="00C432B6" w:rsidRPr="00D67307">
        <w:rPr>
          <w:rFonts w:ascii="Arial" w:hAnsi="Arial" w:cs="Arial"/>
          <w:sz w:val="24"/>
          <w:szCs w:val="24"/>
        </w:rPr>
        <w:t xml:space="preserve"> sequence reads) in the detected BCR repertoire</w:t>
      </w:r>
      <w:r w:rsidR="004A7D79" w:rsidRPr="00D67307">
        <w:rPr>
          <w:rFonts w:ascii="Arial" w:hAnsi="Arial" w:cs="Arial"/>
          <w:sz w:val="24"/>
          <w:szCs w:val="24"/>
        </w:rPr>
        <w:t>,</w:t>
      </w:r>
      <w:r w:rsidR="00C432B6" w:rsidRPr="00D67307">
        <w:rPr>
          <w:rFonts w:ascii="Arial" w:hAnsi="Arial" w:cs="Arial"/>
          <w:sz w:val="24"/>
          <w:szCs w:val="24"/>
        </w:rPr>
        <w:t xml:space="preserve"> </w:t>
      </w:r>
      <w:r w:rsidR="004A7D79" w:rsidRPr="00D67307">
        <w:rPr>
          <w:rFonts w:ascii="Arial" w:hAnsi="Arial" w:cs="Arial"/>
          <w:sz w:val="24"/>
          <w:szCs w:val="24"/>
        </w:rPr>
        <w:t>distributed</w:t>
      </w:r>
      <w:r w:rsidR="00B001F2" w:rsidRPr="00D67307">
        <w:rPr>
          <w:rFonts w:ascii="Arial" w:hAnsi="Arial" w:cs="Arial"/>
          <w:sz w:val="24"/>
          <w:szCs w:val="24"/>
        </w:rPr>
        <w:t xml:space="preserve"> by MFP clusters.</w:t>
      </w:r>
    </w:p>
    <w:bookmarkEnd w:id="0"/>
    <w:p w14:paraId="41AC89D6" w14:textId="77777777" w:rsidR="00C432B6" w:rsidRPr="00D67307" w:rsidRDefault="00C432B6" w:rsidP="001D3956">
      <w:pPr>
        <w:spacing w:line="360" w:lineRule="auto"/>
        <w:ind w:left="990" w:hanging="990"/>
        <w:jc w:val="both"/>
        <w:rPr>
          <w:rFonts w:ascii="Arial" w:hAnsi="Arial" w:cs="Arial"/>
          <w:sz w:val="24"/>
          <w:szCs w:val="24"/>
        </w:rPr>
      </w:pPr>
    </w:p>
    <w:p w14:paraId="147948CE" w14:textId="77777777" w:rsidR="00E852E2" w:rsidRPr="00D67307" w:rsidRDefault="00E852E2" w:rsidP="001D3956">
      <w:pPr>
        <w:jc w:val="both"/>
        <w:rPr>
          <w:rFonts w:ascii="Arial" w:hAnsi="Arial" w:cs="Arial"/>
          <w:b/>
          <w:sz w:val="24"/>
          <w:szCs w:val="24"/>
        </w:rPr>
      </w:pPr>
      <w:r w:rsidRPr="00D67307">
        <w:rPr>
          <w:rFonts w:ascii="Arial" w:hAnsi="Arial" w:cs="Arial"/>
          <w:b/>
          <w:sz w:val="24"/>
          <w:szCs w:val="24"/>
        </w:rPr>
        <w:br w:type="page"/>
      </w:r>
    </w:p>
    <w:p w14:paraId="7C73B368" w14:textId="77777777" w:rsidR="0090095E" w:rsidRPr="00D67307" w:rsidRDefault="0090095E" w:rsidP="006C5B53">
      <w:pPr>
        <w:jc w:val="both"/>
        <w:rPr>
          <w:rFonts w:ascii="Arial" w:eastAsia="Arial" w:hAnsi="Arial" w:cs="Arial"/>
          <w:b/>
          <w:sz w:val="24"/>
          <w:szCs w:val="24"/>
        </w:rPr>
      </w:pPr>
      <w:r w:rsidRPr="00D67307">
        <w:rPr>
          <w:rFonts w:ascii="Arial" w:eastAsia="Arial" w:hAnsi="Arial" w:cs="Arial"/>
          <w:b/>
          <w:sz w:val="24"/>
          <w:szCs w:val="24"/>
        </w:rPr>
        <w:lastRenderedPageBreak/>
        <w:t>Methods</w:t>
      </w:r>
    </w:p>
    <w:p w14:paraId="7DB6A29A" w14:textId="57DCE8C2" w:rsidR="0090095E" w:rsidRPr="00D67307" w:rsidRDefault="0090095E" w:rsidP="006C5B53">
      <w:pPr>
        <w:spacing w:line="360" w:lineRule="auto"/>
        <w:jc w:val="both"/>
        <w:rPr>
          <w:rFonts w:ascii="Arial" w:eastAsia="Arial" w:hAnsi="Arial" w:cs="Arial"/>
          <w:sz w:val="24"/>
          <w:szCs w:val="24"/>
        </w:rPr>
      </w:pPr>
      <w:bookmarkStart w:id="1" w:name="_heading=h.30j0zll" w:colFirst="0" w:colLast="0"/>
      <w:bookmarkEnd w:id="1"/>
      <w:r w:rsidRPr="00D67307">
        <w:rPr>
          <w:rFonts w:ascii="Arial" w:eastAsia="Arial" w:hAnsi="Arial" w:cs="Arial"/>
          <w:sz w:val="24"/>
          <w:szCs w:val="24"/>
        </w:rPr>
        <w:t>This study was performed from retrospective patient tissue biopsy samples, collected after the provision of informed consent and approval by the Institutional Review Board at The University of Texas MD Anderson Cancer Center. A total of 4</w:t>
      </w:r>
      <w:r w:rsidR="001B5B57" w:rsidRPr="00D67307">
        <w:rPr>
          <w:rFonts w:ascii="Arial" w:eastAsia="Arial" w:hAnsi="Arial" w:cs="Arial"/>
          <w:sz w:val="24"/>
          <w:szCs w:val="24"/>
        </w:rPr>
        <w:t>1</w:t>
      </w:r>
      <w:r w:rsidRPr="00D67307">
        <w:rPr>
          <w:rFonts w:ascii="Arial" w:eastAsia="Arial" w:hAnsi="Arial" w:cs="Arial"/>
          <w:sz w:val="24"/>
          <w:szCs w:val="24"/>
        </w:rPr>
        <w:t xml:space="preserve"> patients were included. Among evaluable patients, DNA and RNA extraction was performed from fresh surgical biopsies from lymph nodes and non-nodal tissues from patients with relapsed MCL. </w:t>
      </w:r>
      <w:r w:rsidR="00EB3BBE" w:rsidRPr="00D67307">
        <w:rPr>
          <w:rFonts w:ascii="Arial" w:eastAsia="Arial" w:hAnsi="Arial" w:cs="Arial"/>
          <w:sz w:val="24"/>
          <w:szCs w:val="24"/>
        </w:rPr>
        <w:t xml:space="preserve">Saliva samples were used for germline DNA. </w:t>
      </w:r>
      <w:r w:rsidRPr="00D67307">
        <w:rPr>
          <w:rFonts w:ascii="Arial" w:eastAsia="Arial" w:hAnsi="Arial" w:cs="Arial"/>
          <w:sz w:val="24"/>
          <w:szCs w:val="24"/>
        </w:rPr>
        <w:t xml:space="preserve">Whole exome (WES) and bulk RNA sequencing were performed to assess the somatic mutation profile, copy number abnormalities and gene expression profile to identify tumor microenvironment (TME) gene clusters. </w:t>
      </w:r>
    </w:p>
    <w:p w14:paraId="6288D7AB" w14:textId="77777777" w:rsidR="0090095E" w:rsidRPr="00D67307" w:rsidRDefault="0090095E" w:rsidP="006C5B53">
      <w:pPr>
        <w:spacing w:line="360" w:lineRule="auto"/>
        <w:jc w:val="both"/>
        <w:rPr>
          <w:rFonts w:ascii="Arial" w:eastAsia="Arial" w:hAnsi="Arial" w:cs="Arial"/>
          <w:b/>
          <w:sz w:val="24"/>
          <w:szCs w:val="24"/>
        </w:rPr>
      </w:pPr>
      <w:r w:rsidRPr="00D67307">
        <w:rPr>
          <w:rFonts w:ascii="Arial" w:eastAsia="Arial" w:hAnsi="Arial" w:cs="Arial"/>
          <w:b/>
          <w:sz w:val="24"/>
          <w:szCs w:val="24"/>
        </w:rPr>
        <w:t>DNA and RNA Extraction</w:t>
      </w:r>
    </w:p>
    <w:p w14:paraId="36C6A05A" w14:textId="50DA2DF2"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 xml:space="preserve">For DNA and RNA sequencing, fresh specimens were immediately placed into </w:t>
      </w:r>
      <w:proofErr w:type="spellStart"/>
      <w:r w:rsidRPr="00D67307">
        <w:rPr>
          <w:rFonts w:ascii="Arial" w:eastAsia="Arial" w:hAnsi="Arial" w:cs="Arial"/>
          <w:sz w:val="24"/>
          <w:szCs w:val="24"/>
        </w:rPr>
        <w:t>RNALater</w:t>
      </w:r>
      <w:proofErr w:type="spellEnd"/>
      <w:r w:rsidRPr="00D67307">
        <w:rPr>
          <w:rFonts w:ascii="Arial" w:eastAsia="Arial" w:hAnsi="Arial" w:cs="Arial"/>
          <w:sz w:val="24"/>
          <w:szCs w:val="24"/>
        </w:rPr>
        <w:t xml:space="preserve"> solution after surgical biopsy or Ficoll-Hypaque density centrifugation and selective CD19 magnetic isolation of CD19</w:t>
      </w:r>
      <w:r w:rsidRPr="00D67307">
        <w:rPr>
          <w:rFonts w:ascii="Arial" w:eastAsia="Arial" w:hAnsi="Arial" w:cs="Arial"/>
          <w:sz w:val="24"/>
          <w:szCs w:val="24"/>
          <w:vertAlign w:val="superscript"/>
        </w:rPr>
        <w:t>+</w:t>
      </w:r>
      <w:r w:rsidRPr="00D67307">
        <w:rPr>
          <w:rFonts w:ascii="Arial" w:eastAsia="Arial" w:hAnsi="Arial" w:cs="Arial"/>
          <w:sz w:val="24"/>
          <w:szCs w:val="24"/>
        </w:rPr>
        <w:t xml:space="preserve"> cells. All procedures were performed in cold buffer or on ice. DNA and RNA extractions were performed at the MD Anderson Core Facility following standard protocols. Extractions using the </w:t>
      </w:r>
      <w:proofErr w:type="spellStart"/>
      <w:r w:rsidRPr="00D67307">
        <w:rPr>
          <w:rFonts w:ascii="Arial" w:eastAsia="Arial" w:hAnsi="Arial" w:cs="Arial"/>
          <w:sz w:val="24"/>
          <w:szCs w:val="24"/>
        </w:rPr>
        <w:t>QIAmp</w:t>
      </w:r>
      <w:proofErr w:type="spellEnd"/>
      <w:r w:rsidRPr="00D67307">
        <w:rPr>
          <w:rFonts w:ascii="Arial" w:eastAsia="Arial" w:hAnsi="Arial" w:cs="Arial"/>
          <w:sz w:val="24"/>
          <w:szCs w:val="24"/>
        </w:rPr>
        <w:t xml:space="preserve"> DNA kit (Qiagen) according to handbook protocol. DNA and RNA were checked for integrity and size distribution using the Agilent Bioanalyzer. </w:t>
      </w:r>
    </w:p>
    <w:p w14:paraId="7D025F61"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 xml:space="preserve">The majority of ibrutinib-resistant MCL samples were collected at the time or after progression on ibrutinib, and the sensitive samples were collected prior to ibrutinib therapy. Ficoll-Hypaque density centrifugation and anti-CD19 magnetic microbeads (Miltenyi Biotec) were used to isolate mononuclear cells. </w:t>
      </w:r>
    </w:p>
    <w:p w14:paraId="5F11FF67" w14:textId="77777777" w:rsidR="0090095E" w:rsidRPr="00D67307" w:rsidRDefault="0090095E" w:rsidP="006C5B53">
      <w:pPr>
        <w:spacing w:line="360" w:lineRule="auto"/>
        <w:jc w:val="both"/>
        <w:rPr>
          <w:rFonts w:ascii="Arial" w:eastAsia="Arial" w:hAnsi="Arial" w:cs="Arial"/>
          <w:sz w:val="24"/>
          <w:szCs w:val="24"/>
        </w:rPr>
      </w:pPr>
      <w:bookmarkStart w:id="2" w:name="_heading=h.2h9jsyl8iqdy" w:colFirst="0" w:colLast="0"/>
      <w:bookmarkEnd w:id="2"/>
    </w:p>
    <w:p w14:paraId="507FF34D" w14:textId="77777777" w:rsidR="0090095E" w:rsidRPr="00D67307" w:rsidRDefault="0090095E" w:rsidP="006C5B53">
      <w:pPr>
        <w:spacing w:line="360" w:lineRule="auto"/>
        <w:ind w:right="43"/>
        <w:jc w:val="both"/>
        <w:rPr>
          <w:rFonts w:ascii="Arial" w:eastAsia="Arial" w:hAnsi="Arial" w:cs="Arial"/>
          <w:b/>
          <w:sz w:val="24"/>
          <w:szCs w:val="24"/>
        </w:rPr>
      </w:pPr>
      <w:r w:rsidRPr="00D67307">
        <w:rPr>
          <w:rFonts w:ascii="Arial" w:eastAsia="Arial" w:hAnsi="Arial" w:cs="Arial"/>
          <w:b/>
          <w:sz w:val="24"/>
          <w:szCs w:val="24"/>
        </w:rPr>
        <w:t>Whole-exome sequencing (WES)</w:t>
      </w:r>
    </w:p>
    <w:p w14:paraId="57A5A57E" w14:textId="77777777" w:rsidR="0090095E" w:rsidRPr="00D67307" w:rsidRDefault="0090095E" w:rsidP="006C5B53">
      <w:pPr>
        <w:spacing w:line="360" w:lineRule="auto"/>
        <w:jc w:val="both"/>
        <w:rPr>
          <w:rFonts w:ascii="Arial" w:hAnsi="Arial" w:cs="Arial"/>
          <w:sz w:val="24"/>
          <w:szCs w:val="24"/>
        </w:rPr>
      </w:pPr>
      <w:bookmarkStart w:id="3" w:name="_heading=h.3s29fhu1jt7o" w:colFirst="0" w:colLast="0"/>
      <w:bookmarkEnd w:id="3"/>
      <w:r w:rsidRPr="00D67307">
        <w:rPr>
          <w:rFonts w:ascii="Arial" w:eastAsia="Arial" w:hAnsi="Arial" w:cs="Arial"/>
          <w:sz w:val="24"/>
          <w:szCs w:val="24"/>
        </w:rPr>
        <w:t>Briefly, indexed libraries were generated from 500 ng of sheared, genomic DNA (</w:t>
      </w:r>
      <w:proofErr w:type="spellStart"/>
      <w:r w:rsidRPr="00D67307">
        <w:rPr>
          <w:rFonts w:ascii="Arial" w:eastAsia="Arial" w:hAnsi="Arial" w:cs="Arial"/>
          <w:sz w:val="24"/>
          <w:szCs w:val="24"/>
        </w:rPr>
        <w:t>Bioruptor</w:t>
      </w:r>
      <w:proofErr w:type="spellEnd"/>
      <w:r w:rsidRPr="00D67307">
        <w:rPr>
          <w:rFonts w:ascii="Arial" w:eastAsia="Arial" w:hAnsi="Arial" w:cs="Arial"/>
          <w:sz w:val="24"/>
          <w:szCs w:val="24"/>
        </w:rPr>
        <w:t xml:space="preserve"> </w:t>
      </w:r>
      <w:proofErr w:type="spellStart"/>
      <w:r w:rsidRPr="00D67307">
        <w:rPr>
          <w:rFonts w:ascii="Arial" w:eastAsia="Arial" w:hAnsi="Arial" w:cs="Arial"/>
          <w:sz w:val="24"/>
          <w:szCs w:val="24"/>
        </w:rPr>
        <w:t>Ultrasonicator</w:t>
      </w:r>
      <w:proofErr w:type="spellEnd"/>
      <w:r w:rsidRPr="00D67307">
        <w:rPr>
          <w:rFonts w:ascii="Arial" w:eastAsia="Arial" w:hAnsi="Arial" w:cs="Arial"/>
          <w:sz w:val="24"/>
          <w:szCs w:val="24"/>
        </w:rPr>
        <w:t xml:space="preserve">, </w:t>
      </w:r>
      <w:proofErr w:type="spellStart"/>
      <w:r w:rsidRPr="00D67307">
        <w:rPr>
          <w:rFonts w:ascii="Arial" w:eastAsia="Arial" w:hAnsi="Arial" w:cs="Arial"/>
          <w:sz w:val="24"/>
          <w:szCs w:val="24"/>
        </w:rPr>
        <w:t>Diagenode</w:t>
      </w:r>
      <w:proofErr w:type="spellEnd"/>
      <w:r w:rsidRPr="00D67307">
        <w:rPr>
          <w:rFonts w:ascii="Arial" w:eastAsia="Arial" w:hAnsi="Arial" w:cs="Arial"/>
          <w:sz w:val="24"/>
          <w:szCs w:val="24"/>
        </w:rPr>
        <w:t xml:space="preserve">) using the KAPA Hyper Library Preparation Kit (Kapa Biosystems) and were prepared for capture with six cycles of </w:t>
      </w:r>
      <w:proofErr w:type="spellStart"/>
      <w:r w:rsidRPr="00D67307">
        <w:rPr>
          <w:rFonts w:ascii="Arial" w:eastAsia="Arial" w:hAnsi="Arial" w:cs="Arial"/>
          <w:sz w:val="24"/>
          <w:szCs w:val="24"/>
        </w:rPr>
        <w:t>preligation</w:t>
      </w:r>
      <w:proofErr w:type="spellEnd"/>
      <w:r w:rsidRPr="00D67307">
        <w:rPr>
          <w:rFonts w:ascii="Arial" w:eastAsia="Arial" w:hAnsi="Arial" w:cs="Arial"/>
          <w:sz w:val="24"/>
          <w:szCs w:val="24"/>
        </w:rPr>
        <w:t xml:space="preserve">-mediated polymerase chain reaction (PCR) amplification. After amplification and reaction cleanup, the libraries were fluorometrically quantified with the Qubit dsDNA HS (High Sensitivity) </w:t>
      </w:r>
      <w:r w:rsidRPr="00D67307">
        <w:rPr>
          <w:rFonts w:ascii="Arial" w:eastAsia="Arial" w:hAnsi="Arial" w:cs="Arial"/>
          <w:sz w:val="24"/>
          <w:szCs w:val="24"/>
        </w:rPr>
        <w:lastRenderedPageBreak/>
        <w:t xml:space="preserve">Assay (Thermo Fisher Scientific) and analyzed for size distribution (Fragment Analyzer, Advanced Analytical). Normalization was performed, and the libraries were multiplexed at six libraries per pool. A probe pool was used to hybridize each multiplexed library pool with the </w:t>
      </w:r>
      <w:proofErr w:type="spellStart"/>
      <w:r w:rsidRPr="00D67307">
        <w:rPr>
          <w:rFonts w:ascii="Arial" w:eastAsia="Arial" w:hAnsi="Arial" w:cs="Arial"/>
          <w:sz w:val="24"/>
          <w:szCs w:val="24"/>
        </w:rPr>
        <w:t>SeqCap</w:t>
      </w:r>
      <w:proofErr w:type="spellEnd"/>
      <w:r w:rsidRPr="00D67307">
        <w:rPr>
          <w:rFonts w:ascii="Arial" w:eastAsia="Arial" w:hAnsi="Arial" w:cs="Arial"/>
          <w:sz w:val="24"/>
          <w:szCs w:val="24"/>
        </w:rPr>
        <w:t xml:space="preserve"> EZ Human Exome Enrichment Kit v3.0 (Roche </w:t>
      </w:r>
      <w:proofErr w:type="spellStart"/>
      <w:r w:rsidRPr="00D67307">
        <w:rPr>
          <w:rFonts w:ascii="Arial" w:eastAsia="Arial" w:hAnsi="Arial" w:cs="Arial"/>
          <w:sz w:val="24"/>
          <w:szCs w:val="24"/>
        </w:rPr>
        <w:t>NimbleGen</w:t>
      </w:r>
      <w:proofErr w:type="spellEnd"/>
      <w:r w:rsidRPr="00D67307">
        <w:rPr>
          <w:rFonts w:ascii="Arial" w:eastAsia="Arial" w:hAnsi="Arial" w:cs="Arial"/>
          <w:sz w:val="24"/>
          <w:szCs w:val="24"/>
        </w:rPr>
        <w:t>). The enriched libraries were amplified with eight cycles of post-capture PCR and then examined for exon target enrichment by quantitative PCR (qPCR). The exon-enriched libraries were evaluated for size distribution (Fragment Analyzer, Advanced Analytical) and quantified by qPCR using the KAPA Library Quantification Kit (Kapa Biosystems). Sequencing was performed on the HiSeq 4000 Sequencer (Illumina), one capture (six samples) per lane using the 76–base pair (bp) paired-end configuration.</w:t>
      </w:r>
    </w:p>
    <w:p w14:paraId="08CAA86C" w14:textId="77777777" w:rsidR="0090095E" w:rsidRPr="00D67307" w:rsidRDefault="0090095E" w:rsidP="006C5B53">
      <w:pPr>
        <w:spacing w:line="360" w:lineRule="auto"/>
        <w:jc w:val="both"/>
        <w:rPr>
          <w:rFonts w:ascii="Arial" w:eastAsia="Arial" w:hAnsi="Arial" w:cs="Arial"/>
          <w:sz w:val="24"/>
          <w:szCs w:val="24"/>
        </w:rPr>
      </w:pPr>
      <w:bookmarkStart w:id="4" w:name="_heading=h.snjio1nf9mia" w:colFirst="0" w:colLast="0"/>
      <w:bookmarkEnd w:id="4"/>
    </w:p>
    <w:p w14:paraId="61ABDBF3" w14:textId="77777777" w:rsidR="0090095E" w:rsidRPr="00D67307" w:rsidRDefault="0090095E" w:rsidP="006C5B53">
      <w:pPr>
        <w:spacing w:line="360" w:lineRule="auto"/>
        <w:ind w:right="43"/>
        <w:jc w:val="both"/>
        <w:rPr>
          <w:rFonts w:ascii="Arial" w:eastAsia="Arial" w:hAnsi="Arial" w:cs="Arial"/>
          <w:b/>
          <w:sz w:val="24"/>
          <w:szCs w:val="24"/>
        </w:rPr>
      </w:pPr>
      <w:bookmarkStart w:id="5" w:name="_heading=h.s5kiox8tgfn8" w:colFirst="0" w:colLast="0"/>
      <w:bookmarkEnd w:id="5"/>
      <w:r w:rsidRPr="00D67307">
        <w:rPr>
          <w:rFonts w:ascii="Arial" w:eastAsia="Arial" w:hAnsi="Arial" w:cs="Arial"/>
          <w:b/>
          <w:sz w:val="24"/>
          <w:szCs w:val="24"/>
        </w:rPr>
        <w:t>Bulk RNA sequencing</w:t>
      </w:r>
      <w:r w:rsidRPr="00D67307">
        <w:rPr>
          <w:rFonts w:ascii="Arial" w:eastAsia="Arial" w:hAnsi="Arial" w:cs="Arial"/>
          <w:sz w:val="24"/>
          <w:szCs w:val="24"/>
        </w:rPr>
        <w:t xml:space="preserve"> </w:t>
      </w:r>
    </w:p>
    <w:p w14:paraId="1921D345"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Illumina-compatible, barcoded, and strand-</w:t>
      </w:r>
      <w:r w:rsidRPr="00D67307">
        <w:rPr>
          <w:rFonts w:ascii="Arial" w:hAnsi="Arial" w:cs="Arial"/>
          <w:sz w:val="24"/>
          <w:szCs w:val="24"/>
        </w:rPr>
        <w:t xml:space="preserve">specific </w:t>
      </w:r>
      <w:r w:rsidRPr="00D67307">
        <w:rPr>
          <w:rFonts w:ascii="Arial" w:eastAsia="Arial" w:hAnsi="Arial" w:cs="Arial"/>
          <w:sz w:val="24"/>
          <w:szCs w:val="24"/>
        </w:rPr>
        <w:t xml:space="preserve">total </w:t>
      </w:r>
      <w:r w:rsidRPr="00D67307">
        <w:rPr>
          <w:rFonts w:ascii="Arial" w:hAnsi="Arial" w:cs="Arial"/>
          <w:sz w:val="24"/>
          <w:szCs w:val="24"/>
        </w:rPr>
        <w:t xml:space="preserve">RNA libraries were </w:t>
      </w:r>
      <w:r w:rsidRPr="00D67307">
        <w:rPr>
          <w:rFonts w:ascii="Arial" w:eastAsia="Arial" w:hAnsi="Arial" w:cs="Arial"/>
          <w:sz w:val="24"/>
          <w:szCs w:val="24"/>
        </w:rPr>
        <w:t xml:space="preserve">assembled with </w:t>
      </w:r>
      <w:r w:rsidRPr="00D67307">
        <w:rPr>
          <w:rFonts w:ascii="Arial" w:hAnsi="Arial" w:cs="Arial"/>
          <w:sz w:val="24"/>
          <w:szCs w:val="24"/>
        </w:rPr>
        <w:t xml:space="preserve">the </w:t>
      </w:r>
      <w:proofErr w:type="spellStart"/>
      <w:r w:rsidRPr="00D67307">
        <w:rPr>
          <w:rFonts w:ascii="Arial" w:hAnsi="Arial" w:cs="Arial"/>
          <w:sz w:val="24"/>
          <w:szCs w:val="24"/>
        </w:rPr>
        <w:t>TruSeq</w:t>
      </w:r>
      <w:proofErr w:type="spellEnd"/>
      <w:r w:rsidRPr="00D67307">
        <w:rPr>
          <w:rFonts w:ascii="Arial" w:hAnsi="Arial" w:cs="Arial"/>
          <w:sz w:val="24"/>
          <w:szCs w:val="24"/>
        </w:rPr>
        <w:t xml:space="preserve"> </w:t>
      </w:r>
      <w:r w:rsidRPr="00D67307">
        <w:rPr>
          <w:rFonts w:ascii="Arial" w:eastAsia="Arial" w:hAnsi="Arial" w:cs="Arial"/>
          <w:sz w:val="24"/>
          <w:szCs w:val="24"/>
        </w:rPr>
        <w:t>Stranded Total RNA Sample Preparation</w:t>
      </w:r>
      <w:r w:rsidRPr="00D67307">
        <w:rPr>
          <w:rFonts w:ascii="Arial" w:hAnsi="Arial" w:cs="Arial"/>
          <w:sz w:val="24"/>
          <w:szCs w:val="24"/>
        </w:rPr>
        <w:t xml:space="preserve"> Kit (Illumina</w:t>
      </w:r>
      <w:r w:rsidRPr="00D67307">
        <w:rPr>
          <w:rFonts w:ascii="Arial" w:eastAsia="Arial" w:hAnsi="Arial" w:cs="Arial"/>
          <w:sz w:val="24"/>
          <w:szCs w:val="24"/>
        </w:rPr>
        <w:t>). Cytoplasmic and mitochondrial ribosomal RNAs were removed from 250 ng</w:t>
      </w:r>
      <w:r w:rsidRPr="00D67307">
        <w:rPr>
          <w:rFonts w:ascii="Arial" w:hAnsi="Arial" w:cs="Arial"/>
          <w:sz w:val="24"/>
          <w:szCs w:val="24"/>
        </w:rPr>
        <w:t xml:space="preserve"> of </w:t>
      </w:r>
      <w:r w:rsidRPr="00D67307">
        <w:rPr>
          <w:rFonts w:ascii="Arial" w:eastAsia="Arial" w:hAnsi="Arial" w:cs="Arial"/>
          <w:sz w:val="24"/>
          <w:szCs w:val="24"/>
        </w:rPr>
        <w:t>deoxyribonuclease</w:t>
      </w:r>
      <w:r w:rsidRPr="00D67307">
        <w:rPr>
          <w:rFonts w:ascii="Arial" w:hAnsi="Arial" w:cs="Arial"/>
          <w:sz w:val="24"/>
          <w:szCs w:val="24"/>
        </w:rPr>
        <w:t xml:space="preserve"> I</w:t>
      </w:r>
      <w:r w:rsidRPr="00D67307">
        <w:rPr>
          <w:rFonts w:ascii="Arial" w:eastAsia="Arial" w:hAnsi="Arial" w:cs="Arial"/>
          <w:sz w:val="24"/>
          <w:szCs w:val="24"/>
        </w:rPr>
        <w:t>–</w:t>
      </w:r>
      <w:r w:rsidRPr="00D67307">
        <w:rPr>
          <w:rFonts w:ascii="Arial" w:hAnsi="Arial" w:cs="Arial"/>
          <w:sz w:val="24"/>
          <w:szCs w:val="24"/>
        </w:rPr>
        <w:t xml:space="preserve">treated total RNA </w:t>
      </w:r>
      <w:r w:rsidRPr="00D67307">
        <w:rPr>
          <w:rFonts w:ascii="Arial" w:eastAsia="Arial" w:hAnsi="Arial" w:cs="Arial"/>
          <w:sz w:val="24"/>
          <w:szCs w:val="24"/>
        </w:rPr>
        <w:t xml:space="preserve">with </w:t>
      </w:r>
      <w:proofErr w:type="spellStart"/>
      <w:r w:rsidRPr="00D67307">
        <w:rPr>
          <w:rFonts w:ascii="Arial" w:eastAsia="Arial" w:hAnsi="Arial" w:cs="Arial"/>
          <w:sz w:val="24"/>
          <w:szCs w:val="24"/>
        </w:rPr>
        <w:t>Ribo</w:t>
      </w:r>
      <w:proofErr w:type="spellEnd"/>
      <w:r w:rsidRPr="00D67307">
        <w:rPr>
          <w:rFonts w:ascii="Arial" w:eastAsia="Arial" w:hAnsi="Arial" w:cs="Arial"/>
          <w:sz w:val="24"/>
          <w:szCs w:val="24"/>
        </w:rPr>
        <w:t>-Zero Gold (Illumina). Divalent cations were used to fragment the RNA after purification</w:t>
      </w:r>
      <w:r w:rsidRPr="00D67307">
        <w:rPr>
          <w:rFonts w:ascii="Arial" w:hAnsi="Arial" w:cs="Arial"/>
          <w:sz w:val="24"/>
          <w:szCs w:val="24"/>
        </w:rPr>
        <w:t>, and double</w:t>
      </w:r>
      <w:r w:rsidRPr="00D67307">
        <w:rPr>
          <w:rFonts w:ascii="Arial" w:eastAsia="Arial" w:hAnsi="Arial" w:cs="Arial"/>
          <w:sz w:val="24"/>
          <w:szCs w:val="24"/>
        </w:rPr>
        <w:t>-</w:t>
      </w:r>
      <w:r w:rsidRPr="00D67307">
        <w:rPr>
          <w:rFonts w:ascii="Arial" w:hAnsi="Arial" w:cs="Arial"/>
          <w:sz w:val="24"/>
          <w:szCs w:val="24"/>
        </w:rPr>
        <w:t xml:space="preserve">stranded </w:t>
      </w:r>
      <w:r w:rsidRPr="00D67307">
        <w:rPr>
          <w:rFonts w:ascii="Arial" w:eastAsia="Arial" w:hAnsi="Arial" w:cs="Arial"/>
          <w:sz w:val="24"/>
          <w:szCs w:val="24"/>
        </w:rPr>
        <w:t>complementary DNA (</w:t>
      </w:r>
      <w:r w:rsidRPr="00D67307">
        <w:rPr>
          <w:rFonts w:ascii="Arial" w:hAnsi="Arial" w:cs="Arial"/>
          <w:sz w:val="24"/>
          <w:szCs w:val="24"/>
        </w:rPr>
        <w:t>cDNA</w:t>
      </w:r>
      <w:r w:rsidRPr="00D67307">
        <w:rPr>
          <w:rFonts w:ascii="Arial" w:eastAsia="Arial" w:hAnsi="Arial" w:cs="Arial"/>
          <w:sz w:val="24"/>
          <w:szCs w:val="24"/>
        </w:rPr>
        <w:t>)</w:t>
      </w:r>
      <w:r w:rsidRPr="00D67307">
        <w:rPr>
          <w:rFonts w:ascii="Arial" w:hAnsi="Arial" w:cs="Arial"/>
          <w:sz w:val="24"/>
          <w:szCs w:val="24"/>
        </w:rPr>
        <w:t xml:space="preserve"> was synthesized</w:t>
      </w:r>
      <w:r w:rsidRPr="00D67307">
        <w:rPr>
          <w:rFonts w:ascii="Arial" w:eastAsia="Arial" w:hAnsi="Arial" w:cs="Arial"/>
          <w:sz w:val="24"/>
          <w:szCs w:val="24"/>
        </w:rPr>
        <w:t>. After synthesis</w:t>
      </w:r>
      <w:r w:rsidRPr="00D67307">
        <w:rPr>
          <w:rFonts w:ascii="Arial" w:hAnsi="Arial" w:cs="Arial"/>
          <w:sz w:val="24"/>
          <w:szCs w:val="24"/>
        </w:rPr>
        <w:t xml:space="preserve"> and </w:t>
      </w:r>
      <w:r w:rsidRPr="00D67307">
        <w:rPr>
          <w:rFonts w:ascii="Arial" w:eastAsia="Arial" w:hAnsi="Arial" w:cs="Arial"/>
          <w:sz w:val="24"/>
          <w:szCs w:val="24"/>
        </w:rPr>
        <w:t xml:space="preserve">repair, </w:t>
      </w:r>
      <w:r w:rsidRPr="00D67307">
        <w:rPr>
          <w:rFonts w:ascii="Arial" w:hAnsi="Arial" w:cs="Arial"/>
          <w:sz w:val="24"/>
          <w:szCs w:val="24"/>
        </w:rPr>
        <w:t xml:space="preserve">Illumina-specific indexed adapters were ligated. </w:t>
      </w:r>
      <w:r w:rsidRPr="00D67307">
        <w:rPr>
          <w:rFonts w:ascii="Arial" w:eastAsia="Arial" w:hAnsi="Arial" w:cs="Arial"/>
          <w:sz w:val="24"/>
          <w:szCs w:val="24"/>
        </w:rPr>
        <w:t>Purification</w:t>
      </w:r>
      <w:r w:rsidRPr="00D67307">
        <w:rPr>
          <w:rFonts w:ascii="Arial" w:hAnsi="Arial" w:cs="Arial"/>
          <w:sz w:val="24"/>
          <w:szCs w:val="24"/>
        </w:rPr>
        <w:t xml:space="preserve"> and </w:t>
      </w:r>
      <w:r w:rsidRPr="00D67307">
        <w:rPr>
          <w:rFonts w:ascii="Arial" w:eastAsia="Arial" w:hAnsi="Arial" w:cs="Arial"/>
          <w:sz w:val="24"/>
          <w:szCs w:val="24"/>
        </w:rPr>
        <w:t>enrichment</w:t>
      </w:r>
      <w:r w:rsidRPr="00D67307">
        <w:rPr>
          <w:rFonts w:ascii="Arial" w:hAnsi="Arial" w:cs="Arial"/>
          <w:sz w:val="24"/>
          <w:szCs w:val="24"/>
        </w:rPr>
        <w:t xml:space="preserve"> with </w:t>
      </w:r>
      <w:r w:rsidRPr="00D67307">
        <w:rPr>
          <w:rFonts w:ascii="Arial" w:eastAsia="Arial" w:hAnsi="Arial" w:cs="Arial"/>
          <w:sz w:val="24"/>
          <w:szCs w:val="24"/>
        </w:rPr>
        <w:t>12</w:t>
      </w:r>
      <w:r w:rsidRPr="00D67307">
        <w:rPr>
          <w:rFonts w:ascii="Arial" w:hAnsi="Arial" w:cs="Arial"/>
          <w:sz w:val="24"/>
          <w:szCs w:val="24"/>
        </w:rPr>
        <w:t xml:space="preserve"> cycles of PCR </w:t>
      </w:r>
      <w:r w:rsidRPr="00D67307">
        <w:rPr>
          <w:rFonts w:ascii="Arial" w:eastAsia="Arial" w:hAnsi="Arial" w:cs="Arial"/>
          <w:sz w:val="24"/>
          <w:szCs w:val="24"/>
        </w:rPr>
        <w:t xml:space="preserve">were conducted </w:t>
      </w:r>
      <w:r w:rsidRPr="00D67307">
        <w:rPr>
          <w:rFonts w:ascii="Arial" w:hAnsi="Arial" w:cs="Arial"/>
          <w:sz w:val="24"/>
          <w:szCs w:val="24"/>
        </w:rPr>
        <w:t xml:space="preserve">to </w:t>
      </w:r>
      <w:r w:rsidRPr="00D67307">
        <w:rPr>
          <w:rFonts w:ascii="Arial" w:eastAsia="Arial" w:hAnsi="Arial" w:cs="Arial"/>
          <w:sz w:val="24"/>
          <w:szCs w:val="24"/>
        </w:rPr>
        <w:t>prepare</w:t>
      </w:r>
      <w:r w:rsidRPr="00D67307">
        <w:rPr>
          <w:rFonts w:ascii="Arial" w:hAnsi="Arial" w:cs="Arial"/>
          <w:sz w:val="24"/>
          <w:szCs w:val="24"/>
        </w:rPr>
        <w:t xml:space="preserve"> the cDNA library. </w:t>
      </w:r>
      <w:r w:rsidRPr="00D67307">
        <w:rPr>
          <w:rFonts w:ascii="Arial" w:eastAsia="Arial" w:hAnsi="Arial" w:cs="Arial"/>
          <w:sz w:val="24"/>
          <w:szCs w:val="24"/>
        </w:rPr>
        <w:t>Each library was then quantified using the Qubit dsDNA HS Assay (Thermo Fisher Scientific) and multiplexed into pools containing 24 libraries. Pooled</w:t>
      </w:r>
      <w:r w:rsidRPr="00D67307">
        <w:rPr>
          <w:rFonts w:ascii="Arial" w:hAnsi="Arial" w:cs="Arial"/>
          <w:sz w:val="24"/>
          <w:szCs w:val="24"/>
        </w:rPr>
        <w:t xml:space="preserve"> libraries were quantified using the KAPA Library Quantification Kit (</w:t>
      </w:r>
      <w:r w:rsidRPr="00D67307">
        <w:rPr>
          <w:rFonts w:ascii="Arial" w:eastAsia="Arial" w:hAnsi="Arial" w:cs="Arial"/>
          <w:sz w:val="24"/>
          <w:szCs w:val="24"/>
        </w:rPr>
        <w:t>Kapa Biosystems), examined for size distribution using the Fragment Analyzer (Advanced Analytical), and then, using the 76-bp paired-end format,</w:t>
      </w:r>
      <w:r w:rsidRPr="00D67307">
        <w:rPr>
          <w:rFonts w:ascii="Arial" w:hAnsi="Arial" w:cs="Arial"/>
          <w:sz w:val="24"/>
          <w:szCs w:val="24"/>
        </w:rPr>
        <w:t xml:space="preserve"> sequenced in </w:t>
      </w:r>
      <w:r w:rsidRPr="00D67307">
        <w:rPr>
          <w:rFonts w:ascii="Arial" w:eastAsia="Arial" w:hAnsi="Arial" w:cs="Arial"/>
          <w:sz w:val="24"/>
          <w:szCs w:val="24"/>
        </w:rPr>
        <w:t>four</w:t>
      </w:r>
      <w:bookmarkStart w:id="6" w:name="_heading=h.jvoyxrzgf6e2" w:colFirst="0" w:colLast="0"/>
      <w:bookmarkEnd w:id="6"/>
      <w:r w:rsidRPr="00D67307">
        <w:rPr>
          <w:rFonts w:ascii="Arial" w:hAnsi="Arial" w:cs="Arial"/>
          <w:sz w:val="24"/>
          <w:szCs w:val="24"/>
        </w:rPr>
        <w:t xml:space="preserve"> </w:t>
      </w:r>
      <w:r w:rsidRPr="00D67307">
        <w:rPr>
          <w:rFonts w:ascii="Arial" w:eastAsia="Arial" w:hAnsi="Arial" w:cs="Arial"/>
          <w:sz w:val="24"/>
          <w:szCs w:val="24"/>
        </w:rPr>
        <w:t xml:space="preserve">lanes of the Illumina HiSeq 4000 Sequencer </w:t>
      </w:r>
      <w:r w:rsidRPr="00D67307">
        <w:rPr>
          <w:rFonts w:ascii="Arial" w:eastAsia="Arial" w:hAnsi="Arial" w:cs="Arial"/>
          <w:i/>
          <w:sz w:val="24"/>
          <w:szCs w:val="24"/>
        </w:rPr>
        <w:t>(further details on methods and analysis are in supplemental file)</w:t>
      </w:r>
      <w:r w:rsidRPr="00D67307">
        <w:rPr>
          <w:rFonts w:ascii="Arial" w:eastAsia="Arial" w:hAnsi="Arial" w:cs="Arial"/>
          <w:sz w:val="24"/>
          <w:szCs w:val="24"/>
        </w:rPr>
        <w:t xml:space="preserve">. </w:t>
      </w:r>
    </w:p>
    <w:p w14:paraId="41B2B750" w14:textId="77777777" w:rsidR="0090095E" w:rsidRPr="00D67307" w:rsidRDefault="0090095E" w:rsidP="006C5B53">
      <w:pPr>
        <w:spacing w:line="360" w:lineRule="auto"/>
        <w:ind w:right="43"/>
        <w:jc w:val="both"/>
        <w:rPr>
          <w:rFonts w:ascii="Arial" w:eastAsia="Arial" w:hAnsi="Arial" w:cs="Arial"/>
          <w:sz w:val="24"/>
          <w:szCs w:val="24"/>
        </w:rPr>
      </w:pPr>
    </w:p>
    <w:p w14:paraId="002F4937" w14:textId="77777777" w:rsidR="0090095E" w:rsidRPr="00D67307" w:rsidRDefault="0090095E" w:rsidP="006C5B53">
      <w:pPr>
        <w:spacing w:line="360" w:lineRule="auto"/>
        <w:jc w:val="both"/>
        <w:rPr>
          <w:rFonts w:ascii="Arial" w:eastAsia="Arial" w:hAnsi="Arial" w:cs="Arial"/>
          <w:sz w:val="24"/>
          <w:szCs w:val="24"/>
        </w:rPr>
      </w:pPr>
    </w:p>
    <w:p w14:paraId="31186B98" w14:textId="77777777" w:rsidR="0090095E" w:rsidRPr="00D67307" w:rsidRDefault="0090095E" w:rsidP="006C5B53">
      <w:pPr>
        <w:spacing w:line="360" w:lineRule="auto"/>
        <w:jc w:val="both"/>
        <w:rPr>
          <w:rFonts w:ascii="Arial" w:eastAsia="Arial" w:hAnsi="Arial" w:cs="Arial"/>
          <w:b/>
          <w:sz w:val="24"/>
          <w:szCs w:val="24"/>
        </w:rPr>
      </w:pPr>
      <w:r w:rsidRPr="00D67307">
        <w:rPr>
          <w:rFonts w:ascii="Arial" w:eastAsia="Arial" w:hAnsi="Arial" w:cs="Arial"/>
          <w:b/>
          <w:sz w:val="24"/>
          <w:szCs w:val="24"/>
        </w:rPr>
        <w:t>Quality control</w:t>
      </w:r>
    </w:p>
    <w:p w14:paraId="10E46AEF" w14:textId="77777777" w:rsidR="0090095E" w:rsidRPr="00D67307" w:rsidRDefault="0090095E" w:rsidP="006C5B53">
      <w:pPr>
        <w:spacing w:line="360" w:lineRule="auto"/>
        <w:jc w:val="both"/>
        <w:rPr>
          <w:rFonts w:ascii="Arial" w:eastAsia="Arial" w:hAnsi="Arial" w:cs="Arial"/>
          <w:b/>
          <w:sz w:val="24"/>
          <w:szCs w:val="24"/>
        </w:rPr>
      </w:pPr>
      <w:r w:rsidRPr="00D67307">
        <w:rPr>
          <w:rFonts w:ascii="Arial" w:eastAsia="Arial" w:hAnsi="Arial" w:cs="Arial"/>
          <w:sz w:val="24"/>
          <w:szCs w:val="24"/>
        </w:rPr>
        <w:lastRenderedPageBreak/>
        <w:t xml:space="preserve">Raw FASTQ files were analysed with </w:t>
      </w:r>
      <w:proofErr w:type="spellStart"/>
      <w:r w:rsidRPr="00D67307">
        <w:rPr>
          <w:rFonts w:ascii="Arial" w:eastAsia="Arial" w:hAnsi="Arial" w:cs="Arial"/>
          <w:sz w:val="24"/>
          <w:szCs w:val="24"/>
        </w:rPr>
        <w:t>FastQC</w:t>
      </w:r>
      <w:proofErr w:type="spellEnd"/>
      <w:r w:rsidRPr="00D67307">
        <w:rPr>
          <w:rFonts w:ascii="Arial" w:eastAsia="Arial" w:hAnsi="Arial" w:cs="Arial"/>
          <w:sz w:val="24"/>
          <w:szCs w:val="24"/>
        </w:rPr>
        <w:t xml:space="preserve"> (v0.11.5), </w:t>
      </w:r>
      <w:proofErr w:type="spellStart"/>
      <w:r w:rsidRPr="00D67307">
        <w:rPr>
          <w:rFonts w:ascii="Arial" w:eastAsia="Arial" w:hAnsi="Arial" w:cs="Arial"/>
          <w:sz w:val="24"/>
          <w:szCs w:val="24"/>
        </w:rPr>
        <w:t>Fastq</w:t>
      </w:r>
      <w:proofErr w:type="spellEnd"/>
      <w:r w:rsidRPr="00D67307">
        <w:rPr>
          <w:rFonts w:ascii="Arial" w:eastAsia="Arial" w:hAnsi="Arial" w:cs="Arial"/>
          <w:sz w:val="24"/>
          <w:szCs w:val="24"/>
        </w:rPr>
        <w:t xml:space="preserve">-Screen (v0.14), </w:t>
      </w:r>
      <w:proofErr w:type="spellStart"/>
      <w:r w:rsidRPr="00D67307">
        <w:rPr>
          <w:rFonts w:ascii="Arial" w:eastAsia="Arial" w:hAnsi="Arial" w:cs="Arial"/>
          <w:sz w:val="24"/>
          <w:szCs w:val="24"/>
        </w:rPr>
        <w:t>mosdepth</w:t>
      </w:r>
      <w:proofErr w:type="spellEnd"/>
      <w:r w:rsidRPr="00D67307">
        <w:rPr>
          <w:rFonts w:ascii="Arial" w:eastAsia="Arial" w:hAnsi="Arial" w:cs="Arial"/>
          <w:sz w:val="24"/>
          <w:szCs w:val="24"/>
        </w:rPr>
        <w:t xml:space="preserve"> (v0.3.1), </w:t>
      </w:r>
      <w:proofErr w:type="spellStart"/>
      <w:r w:rsidRPr="00D67307">
        <w:rPr>
          <w:rFonts w:ascii="Arial" w:eastAsia="Arial" w:hAnsi="Arial" w:cs="Arial"/>
          <w:sz w:val="24"/>
          <w:szCs w:val="24"/>
        </w:rPr>
        <w:t>RSeQC</w:t>
      </w:r>
      <w:proofErr w:type="spellEnd"/>
      <w:r w:rsidRPr="00D67307">
        <w:rPr>
          <w:rFonts w:ascii="Arial" w:eastAsia="Arial" w:hAnsi="Arial" w:cs="Arial"/>
          <w:sz w:val="24"/>
          <w:szCs w:val="24"/>
        </w:rPr>
        <w:t xml:space="preserve"> (v1.1.8). </w:t>
      </w:r>
      <w:proofErr w:type="spellStart"/>
      <w:r w:rsidRPr="00D67307">
        <w:rPr>
          <w:rFonts w:ascii="Arial" w:eastAsia="Arial" w:hAnsi="Arial" w:cs="Arial"/>
          <w:sz w:val="24"/>
          <w:szCs w:val="24"/>
        </w:rPr>
        <w:t>RNAseq</w:t>
      </w:r>
      <w:proofErr w:type="spellEnd"/>
      <w:r w:rsidRPr="00D67307">
        <w:rPr>
          <w:rFonts w:ascii="Arial" w:eastAsia="Arial" w:hAnsi="Arial" w:cs="Arial"/>
          <w:sz w:val="24"/>
          <w:szCs w:val="24"/>
        </w:rPr>
        <w:t xml:space="preserve"> files considered passed in case &lt;2% contamination with other species, &gt;10M protein-coding reads, no evidence of RNA degradation by </w:t>
      </w:r>
      <w:proofErr w:type="spellStart"/>
      <w:r w:rsidRPr="00D67307">
        <w:rPr>
          <w:rFonts w:ascii="Arial" w:eastAsia="Arial" w:hAnsi="Arial" w:cs="Arial"/>
          <w:sz w:val="24"/>
          <w:szCs w:val="24"/>
        </w:rPr>
        <w:t>RSEqc</w:t>
      </w:r>
      <w:proofErr w:type="spellEnd"/>
      <w:r w:rsidRPr="00D67307">
        <w:rPr>
          <w:rFonts w:ascii="Arial" w:eastAsia="Arial" w:hAnsi="Arial" w:cs="Arial"/>
          <w:sz w:val="24"/>
          <w:szCs w:val="24"/>
        </w:rPr>
        <w:t xml:space="preserve">. WES files considered passed in case &gt;50X coverage per nucleotide, &lt;2% contamination, &lt;30% duplicates. All samples passed quality control for this research. </w:t>
      </w:r>
    </w:p>
    <w:p w14:paraId="25E703FB" w14:textId="77777777" w:rsidR="0090095E" w:rsidRPr="00D67307" w:rsidRDefault="0090095E" w:rsidP="006C5B53">
      <w:pPr>
        <w:pStyle w:val="Heading2"/>
        <w:spacing w:line="360" w:lineRule="auto"/>
        <w:jc w:val="both"/>
        <w:rPr>
          <w:rFonts w:ascii="Arial" w:hAnsi="Arial" w:cs="Arial"/>
          <w:b/>
          <w:bCs/>
          <w:color w:val="auto"/>
          <w:sz w:val="24"/>
          <w:szCs w:val="24"/>
        </w:rPr>
      </w:pPr>
      <w:bookmarkStart w:id="7" w:name="_heading=h.9xb1xax7s3e7" w:colFirst="0" w:colLast="0"/>
      <w:bookmarkEnd w:id="7"/>
      <w:r w:rsidRPr="00D67307">
        <w:rPr>
          <w:rFonts w:ascii="Arial" w:hAnsi="Arial" w:cs="Arial"/>
          <w:b/>
          <w:bCs/>
          <w:color w:val="auto"/>
          <w:sz w:val="24"/>
          <w:szCs w:val="24"/>
        </w:rPr>
        <w:t>DNA-seq Pipeline</w:t>
      </w:r>
    </w:p>
    <w:p w14:paraId="2A906DA8" w14:textId="77777777" w:rsidR="0090095E" w:rsidRPr="00D67307" w:rsidRDefault="0090095E" w:rsidP="006C5B53">
      <w:pPr>
        <w:spacing w:line="360" w:lineRule="auto"/>
        <w:jc w:val="both"/>
        <w:rPr>
          <w:rFonts w:ascii="Arial" w:eastAsia="Arial" w:hAnsi="Arial" w:cs="Arial"/>
          <w:b/>
          <w:bCs/>
          <w:sz w:val="24"/>
          <w:szCs w:val="24"/>
        </w:rPr>
      </w:pPr>
      <w:r w:rsidRPr="00D67307">
        <w:rPr>
          <w:rFonts w:ascii="Arial" w:eastAsia="Arial" w:hAnsi="Arial" w:cs="Arial"/>
          <w:b/>
          <w:bCs/>
          <w:sz w:val="24"/>
          <w:szCs w:val="24"/>
        </w:rPr>
        <w:t xml:space="preserve">Data Alignment </w:t>
      </w:r>
    </w:p>
    <w:p w14:paraId="01CB85B9" w14:textId="5D21841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 xml:space="preserve">Low quality reads were filtered using </w:t>
      </w:r>
      <w:proofErr w:type="spellStart"/>
      <w:r w:rsidRPr="00D67307">
        <w:rPr>
          <w:rFonts w:ascii="Arial" w:eastAsia="Arial" w:hAnsi="Arial" w:cs="Arial"/>
          <w:sz w:val="24"/>
          <w:szCs w:val="24"/>
        </w:rPr>
        <w:t>FilterByTile</w:t>
      </w:r>
      <w:proofErr w:type="spellEnd"/>
      <w:r w:rsidRPr="00D67307">
        <w:rPr>
          <w:rFonts w:ascii="Arial" w:eastAsia="Arial" w:hAnsi="Arial" w:cs="Arial"/>
          <w:sz w:val="24"/>
          <w:szCs w:val="24"/>
        </w:rPr>
        <w:t>/</w:t>
      </w:r>
      <w:proofErr w:type="spellStart"/>
      <w:r w:rsidRPr="00D67307">
        <w:rPr>
          <w:rFonts w:ascii="Arial" w:eastAsia="Arial" w:hAnsi="Arial" w:cs="Arial"/>
          <w:sz w:val="24"/>
          <w:szCs w:val="24"/>
        </w:rPr>
        <w:t>BBMap</w:t>
      </w:r>
      <w:proofErr w:type="spellEnd"/>
      <w:r w:rsidRPr="00D67307">
        <w:rPr>
          <w:rFonts w:ascii="Arial" w:eastAsia="Arial" w:hAnsi="Arial" w:cs="Arial"/>
          <w:sz w:val="24"/>
          <w:szCs w:val="24"/>
        </w:rPr>
        <w:t xml:space="preserve"> v37.90, others were aligned to the GRCh38 (GRCh38.d1.vd1 assembly) human reference genome using BWA v0.7.17. Duplicate reads were marked using Picard’s v2.20.7 </w:t>
      </w:r>
      <w:proofErr w:type="spellStart"/>
      <w:r w:rsidRPr="00D67307">
        <w:rPr>
          <w:rFonts w:ascii="Arial" w:eastAsia="Arial" w:hAnsi="Arial" w:cs="Arial"/>
          <w:sz w:val="24"/>
          <w:szCs w:val="24"/>
        </w:rPr>
        <w:t>MarkDuplicates</w:t>
      </w:r>
      <w:proofErr w:type="spellEnd"/>
      <w:r w:rsidRPr="00D67307">
        <w:rPr>
          <w:rFonts w:ascii="Arial" w:eastAsia="Arial" w:hAnsi="Arial" w:cs="Arial"/>
          <w:sz w:val="24"/>
          <w:szCs w:val="24"/>
        </w:rPr>
        <w:t xml:space="preserve">; indels are realigned and further recalibrated by </w:t>
      </w:r>
      <w:proofErr w:type="spellStart"/>
      <w:r w:rsidRPr="00D67307">
        <w:rPr>
          <w:rFonts w:ascii="Arial" w:eastAsia="Arial" w:hAnsi="Arial" w:cs="Arial"/>
          <w:sz w:val="24"/>
          <w:szCs w:val="24"/>
        </w:rPr>
        <w:t>BaseRecalibrator</w:t>
      </w:r>
      <w:proofErr w:type="spellEnd"/>
      <w:r w:rsidRPr="00D67307">
        <w:rPr>
          <w:rFonts w:ascii="Arial" w:eastAsia="Arial" w:hAnsi="Arial" w:cs="Arial"/>
          <w:sz w:val="24"/>
          <w:szCs w:val="24"/>
        </w:rPr>
        <w:t xml:space="preserve"> (GATK v4.1.2.0). Tumor and germline samples underwent the same procedures. Both germline and somatic variant calling was performed using </w:t>
      </w:r>
      <w:proofErr w:type="spellStart"/>
      <w:r w:rsidRPr="00D67307">
        <w:rPr>
          <w:rFonts w:ascii="Arial" w:eastAsia="Arial" w:hAnsi="Arial" w:cs="Arial"/>
          <w:sz w:val="24"/>
          <w:szCs w:val="24"/>
        </w:rPr>
        <w:t>Strelka</w:t>
      </w:r>
      <w:proofErr w:type="spellEnd"/>
      <w:r w:rsidRPr="00D67307">
        <w:rPr>
          <w:rFonts w:ascii="Arial" w:eastAsia="Arial" w:hAnsi="Arial" w:cs="Arial"/>
          <w:sz w:val="24"/>
          <w:szCs w:val="24"/>
        </w:rPr>
        <w:t xml:space="preserve"> v2.9.10 with MANTA v1.6.0. Copy number alterations were detected </w:t>
      </w:r>
      <w:r w:rsidR="001B5B57" w:rsidRPr="00D67307">
        <w:rPr>
          <w:rFonts w:ascii="Arial" w:eastAsia="Arial" w:hAnsi="Arial" w:cs="Arial"/>
          <w:sz w:val="24"/>
          <w:szCs w:val="24"/>
        </w:rPr>
        <w:t xml:space="preserve">using </w:t>
      </w:r>
      <w:proofErr w:type="spellStart"/>
      <w:r w:rsidR="001B5B57" w:rsidRPr="00D67307">
        <w:rPr>
          <w:rFonts w:ascii="Arial" w:eastAsia="Arial" w:hAnsi="Arial" w:cs="Arial"/>
          <w:sz w:val="24"/>
          <w:szCs w:val="24"/>
        </w:rPr>
        <w:t>Sequenza</w:t>
      </w:r>
      <w:proofErr w:type="spellEnd"/>
      <w:r w:rsidRPr="00D67307">
        <w:rPr>
          <w:rFonts w:ascii="Arial" w:eastAsia="Arial" w:hAnsi="Arial" w:cs="Arial"/>
          <w:sz w:val="24"/>
          <w:szCs w:val="24"/>
        </w:rPr>
        <w:t xml:space="preserve">. </w:t>
      </w:r>
    </w:p>
    <w:p w14:paraId="77D5CCD1" w14:textId="77777777" w:rsidR="0090095E" w:rsidRPr="00D67307" w:rsidRDefault="0090095E" w:rsidP="006C5B53">
      <w:pPr>
        <w:spacing w:line="360" w:lineRule="auto"/>
        <w:jc w:val="both"/>
        <w:rPr>
          <w:rFonts w:ascii="Arial" w:eastAsia="Arial" w:hAnsi="Arial" w:cs="Arial"/>
          <w:sz w:val="24"/>
          <w:szCs w:val="24"/>
        </w:rPr>
      </w:pPr>
      <w:r w:rsidRPr="00D67307">
        <w:rPr>
          <w:rFonts w:ascii="Arial" w:hAnsi="Arial" w:cs="Arial"/>
          <w:b/>
          <w:sz w:val="24"/>
          <w:szCs w:val="24"/>
        </w:rPr>
        <w:t>RNA-seq Pipeline</w:t>
      </w:r>
    </w:p>
    <w:p w14:paraId="601F5A1F" w14:textId="78432EE1"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 xml:space="preserve">RNA-seq reads were processed using a unified pipeline (Vivian J, Rao AA, </w:t>
      </w:r>
      <w:proofErr w:type="spellStart"/>
      <w:r w:rsidRPr="00D67307">
        <w:rPr>
          <w:rFonts w:ascii="Arial" w:eastAsia="Arial" w:hAnsi="Arial" w:cs="Arial"/>
          <w:sz w:val="24"/>
          <w:szCs w:val="24"/>
        </w:rPr>
        <w:t>Nothaft</w:t>
      </w:r>
      <w:proofErr w:type="spellEnd"/>
      <w:r w:rsidRPr="00D67307">
        <w:rPr>
          <w:rFonts w:ascii="Arial" w:eastAsia="Arial" w:hAnsi="Arial" w:cs="Arial"/>
          <w:sz w:val="24"/>
          <w:szCs w:val="24"/>
        </w:rPr>
        <w:t xml:space="preserve"> FA, Ketchum C, Armstrong J, Novak A, et al. Toil enables reproducible, open source, big biomedical data analyses. </w:t>
      </w:r>
      <w:r w:rsidR="00F3098C" w:rsidRPr="00D67307">
        <w:rPr>
          <w:rFonts w:ascii="Arial" w:eastAsia="Arial" w:hAnsi="Arial" w:cs="Arial"/>
          <w:sz w:val="24"/>
          <w:szCs w:val="24"/>
        </w:rPr>
        <w:t>(</w:t>
      </w:r>
      <w:r w:rsidRPr="00D67307">
        <w:rPr>
          <w:rFonts w:ascii="Arial" w:eastAsia="Arial" w:hAnsi="Arial" w:cs="Arial"/>
          <w:i/>
          <w:iCs/>
          <w:sz w:val="24"/>
          <w:szCs w:val="24"/>
        </w:rPr>
        <w:t xml:space="preserve">Nat </w:t>
      </w:r>
      <w:proofErr w:type="spellStart"/>
      <w:r w:rsidRPr="00D67307">
        <w:rPr>
          <w:rFonts w:ascii="Arial" w:eastAsia="Arial" w:hAnsi="Arial" w:cs="Arial"/>
          <w:i/>
          <w:iCs/>
          <w:sz w:val="24"/>
          <w:szCs w:val="24"/>
        </w:rPr>
        <w:t>Biotechnol</w:t>
      </w:r>
      <w:proofErr w:type="spellEnd"/>
      <w:r w:rsidRPr="00D67307">
        <w:rPr>
          <w:rFonts w:ascii="Arial" w:eastAsia="Arial" w:hAnsi="Arial" w:cs="Arial"/>
          <w:i/>
          <w:iCs/>
          <w:sz w:val="24"/>
          <w:szCs w:val="24"/>
        </w:rPr>
        <w:t xml:space="preserve"> </w:t>
      </w:r>
      <w:proofErr w:type="gramStart"/>
      <w:r w:rsidRPr="00D67307">
        <w:rPr>
          <w:rFonts w:ascii="Arial" w:eastAsia="Arial" w:hAnsi="Arial" w:cs="Arial"/>
          <w:i/>
          <w:iCs/>
          <w:sz w:val="24"/>
          <w:szCs w:val="24"/>
        </w:rPr>
        <w:t>2017;35:314</w:t>
      </w:r>
      <w:proofErr w:type="gramEnd"/>
      <w:r w:rsidRPr="00D67307">
        <w:rPr>
          <w:rFonts w:ascii="Arial" w:eastAsia="Arial" w:hAnsi="Arial" w:cs="Arial"/>
          <w:i/>
          <w:iCs/>
          <w:sz w:val="24"/>
          <w:szCs w:val="24"/>
        </w:rPr>
        <w:t>–6</w:t>
      </w:r>
      <w:r w:rsidRPr="00D67307">
        <w:rPr>
          <w:rFonts w:ascii="Arial" w:eastAsia="Arial" w:hAnsi="Arial" w:cs="Arial"/>
          <w:sz w:val="24"/>
          <w:szCs w:val="24"/>
        </w:rPr>
        <w:t xml:space="preserve">). Reads were aligned using </w:t>
      </w:r>
      <w:proofErr w:type="spellStart"/>
      <w:r w:rsidRPr="00D67307">
        <w:rPr>
          <w:rFonts w:ascii="Arial" w:eastAsia="Arial" w:hAnsi="Arial" w:cs="Arial"/>
          <w:sz w:val="24"/>
          <w:szCs w:val="24"/>
        </w:rPr>
        <w:t>Kallisto</w:t>
      </w:r>
      <w:proofErr w:type="spellEnd"/>
      <w:r w:rsidRPr="00D67307">
        <w:rPr>
          <w:rFonts w:ascii="Arial" w:eastAsia="Arial" w:hAnsi="Arial" w:cs="Arial"/>
          <w:sz w:val="24"/>
          <w:szCs w:val="24"/>
        </w:rPr>
        <w:t xml:space="preserve"> v0.42.4 to GENCODE v23 transcripts 69 with default parameters. Then, protein coding, IGH/K/L- and TCR-related transcripts were retained, whereas noncoding, histone- and mitochondrial-related transcripts were removed, resulting in 20,062 analyzed transcripts. Gene expression was quantified as transcripts per million and log2 transformed. </w:t>
      </w:r>
    </w:p>
    <w:p w14:paraId="2DD15345" w14:textId="77777777" w:rsidR="0090095E" w:rsidRPr="00D67307" w:rsidRDefault="00000000" w:rsidP="006C5B53">
      <w:pPr>
        <w:spacing w:line="360" w:lineRule="auto"/>
        <w:jc w:val="both"/>
        <w:rPr>
          <w:rFonts w:ascii="Arial" w:eastAsia="Arial" w:hAnsi="Arial" w:cs="Arial"/>
          <w:b/>
          <w:sz w:val="24"/>
          <w:szCs w:val="24"/>
        </w:rPr>
      </w:pPr>
      <w:sdt>
        <w:sdtPr>
          <w:rPr>
            <w:rFonts w:ascii="Arial" w:hAnsi="Arial" w:cs="Arial"/>
            <w:sz w:val="24"/>
            <w:szCs w:val="24"/>
          </w:rPr>
          <w:tag w:val="goog_rdk_0"/>
          <w:id w:val="537013101"/>
        </w:sdtPr>
        <w:sdtContent/>
      </w:sdt>
      <w:r w:rsidR="0090095E" w:rsidRPr="00D67307">
        <w:rPr>
          <w:rFonts w:ascii="Arial" w:eastAsia="Arial" w:hAnsi="Arial" w:cs="Arial"/>
          <w:b/>
          <w:sz w:val="24"/>
          <w:szCs w:val="24"/>
        </w:rPr>
        <w:t>Tumor Microenvironment Reconstruction (Deconvolution)</w:t>
      </w:r>
    </w:p>
    <w:p w14:paraId="52744925"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 xml:space="preserve">BostonGene utilizes a proprietary ML-based algorithm named Kassandra (DOI: 10.1158/1538-7445.AM2020-853) which provides a robust tool for cell deconvolution. From bulk RNA-sequencing mix Kassandra quantifies the cell type composition enabling remodeling of a patient-specific tumor microenvironment. </w:t>
      </w:r>
    </w:p>
    <w:p w14:paraId="5226EA6E"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lastRenderedPageBreak/>
        <w:t xml:space="preserve">Kassandra is based on </w:t>
      </w:r>
      <w:proofErr w:type="spellStart"/>
      <w:r w:rsidRPr="00D67307">
        <w:rPr>
          <w:rFonts w:ascii="Arial" w:eastAsia="Arial" w:hAnsi="Arial" w:cs="Arial"/>
          <w:sz w:val="24"/>
          <w:szCs w:val="24"/>
        </w:rPr>
        <w:t>LightBGM</w:t>
      </w:r>
      <w:proofErr w:type="spellEnd"/>
      <w:r w:rsidRPr="00D67307">
        <w:rPr>
          <w:rFonts w:ascii="Arial" w:eastAsia="Arial" w:hAnsi="Arial" w:cs="Arial"/>
          <w:sz w:val="24"/>
          <w:szCs w:val="24"/>
        </w:rPr>
        <w:t xml:space="preserve"> (v 2.3.1 or later) model trained on artificial RNA-sequencing mixes mimicking the cellular complexity and diversity of tumor biopsies, which enables the algorithm to accurately identify closely related cell subpopulations with highly similar expression patterns. </w:t>
      </w:r>
    </w:p>
    <w:p w14:paraId="39FC5D92"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Cell ratios are calculated according to the formula:</w:t>
      </w:r>
      <w:r w:rsidRPr="00D67307">
        <w:rPr>
          <w:rFonts w:ascii="Arial" w:eastAsia="Arial" w:hAnsi="Arial" w:cs="Arial"/>
          <w:sz w:val="24"/>
          <w:szCs w:val="24"/>
        </w:rPr>
        <w:br/>
      </w:r>
      <w:r w:rsidRPr="00D67307">
        <w:rPr>
          <w:rFonts w:ascii="Arial" w:eastAsia="Arial" w:hAnsi="Arial" w:cs="Arial"/>
          <w:noProof/>
          <w:sz w:val="24"/>
          <w:szCs w:val="24"/>
        </w:rPr>
        <w:drawing>
          <wp:inline distT="114300" distB="114300" distL="114300" distR="114300" wp14:anchorId="4D983EC1" wp14:editId="64AC61FB">
            <wp:extent cx="1419225" cy="752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419225" cy="752475"/>
                    </a:xfrm>
                    <a:prstGeom prst="rect">
                      <a:avLst/>
                    </a:prstGeom>
                    <a:ln/>
                  </pic:spPr>
                </pic:pic>
              </a:graphicData>
            </a:graphic>
          </wp:inline>
        </w:drawing>
      </w:r>
    </w:p>
    <w:p w14:paraId="219E7B30"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 xml:space="preserve">Where </w:t>
      </w:r>
      <w:proofErr w:type="spellStart"/>
      <w:r w:rsidRPr="00D67307">
        <w:rPr>
          <w:rFonts w:ascii="Arial" w:eastAsia="Arial" w:hAnsi="Arial" w:cs="Arial"/>
          <w:sz w:val="24"/>
          <w:szCs w:val="24"/>
        </w:rPr>
        <w:t>C</w:t>
      </w:r>
      <w:r w:rsidRPr="00D67307">
        <w:rPr>
          <w:rFonts w:ascii="Arial" w:eastAsia="Arial" w:hAnsi="Arial" w:cs="Arial"/>
          <w:sz w:val="24"/>
          <w:szCs w:val="24"/>
          <w:vertAlign w:val="subscript"/>
        </w:rPr>
        <w:t>cell</w:t>
      </w:r>
      <w:proofErr w:type="spellEnd"/>
      <w:r w:rsidRPr="00D67307">
        <w:rPr>
          <w:rFonts w:ascii="Arial" w:eastAsia="Arial" w:hAnsi="Arial" w:cs="Arial"/>
          <w:sz w:val="24"/>
          <w:szCs w:val="24"/>
        </w:rPr>
        <w:t xml:space="preserve"> is cell fraction of cell type, </w:t>
      </w:r>
      <w:proofErr w:type="spellStart"/>
      <w:r w:rsidRPr="00D67307">
        <w:rPr>
          <w:rFonts w:ascii="Arial" w:eastAsia="Arial" w:hAnsi="Arial" w:cs="Arial"/>
          <w:sz w:val="24"/>
          <w:szCs w:val="24"/>
        </w:rPr>
        <w:t>R</w:t>
      </w:r>
      <w:r w:rsidRPr="00D67307">
        <w:rPr>
          <w:rFonts w:ascii="Arial" w:eastAsia="Arial" w:hAnsi="Arial" w:cs="Arial"/>
          <w:sz w:val="24"/>
          <w:szCs w:val="24"/>
          <w:vertAlign w:val="subscript"/>
        </w:rPr>
        <w:t>cell</w:t>
      </w:r>
      <w:proofErr w:type="spellEnd"/>
      <w:r w:rsidRPr="00D67307">
        <w:rPr>
          <w:rFonts w:ascii="Arial" w:eastAsia="Arial" w:hAnsi="Arial" w:cs="Arial"/>
          <w:sz w:val="24"/>
          <w:szCs w:val="24"/>
          <w:vertAlign w:val="subscript"/>
        </w:rPr>
        <w:t xml:space="preserve"> </w:t>
      </w:r>
      <w:r w:rsidRPr="00D67307">
        <w:rPr>
          <w:rFonts w:ascii="Arial" w:eastAsia="Arial" w:hAnsi="Arial" w:cs="Arial"/>
          <w:sz w:val="24"/>
          <w:szCs w:val="24"/>
        </w:rPr>
        <w:t xml:space="preserve">is RNA fraction of cell type, </w:t>
      </w:r>
      <w:proofErr w:type="spellStart"/>
      <w:proofErr w:type="gramStart"/>
      <w:r w:rsidRPr="00D67307">
        <w:rPr>
          <w:rFonts w:ascii="Arial" w:eastAsia="Arial" w:hAnsi="Arial" w:cs="Arial"/>
          <w:sz w:val="24"/>
          <w:szCs w:val="24"/>
        </w:rPr>
        <w:t>A</w:t>
      </w:r>
      <w:r w:rsidRPr="00D67307">
        <w:rPr>
          <w:rFonts w:ascii="Arial" w:eastAsia="Arial" w:hAnsi="Arial" w:cs="Arial"/>
          <w:sz w:val="24"/>
          <w:szCs w:val="24"/>
          <w:vertAlign w:val="subscript"/>
        </w:rPr>
        <w:t>cell</w:t>
      </w:r>
      <w:proofErr w:type="spellEnd"/>
      <w:r w:rsidRPr="00D67307">
        <w:rPr>
          <w:rFonts w:ascii="Arial" w:eastAsia="Arial" w:hAnsi="Arial" w:cs="Arial"/>
          <w:sz w:val="24"/>
          <w:szCs w:val="24"/>
        </w:rPr>
        <w:t xml:space="preserve">  is</w:t>
      </w:r>
      <w:proofErr w:type="gramEnd"/>
      <w:r w:rsidRPr="00D67307">
        <w:rPr>
          <w:rFonts w:ascii="Arial" w:eastAsia="Arial" w:hAnsi="Arial" w:cs="Arial"/>
          <w:sz w:val="24"/>
          <w:szCs w:val="24"/>
        </w:rPr>
        <w:t xml:space="preserve"> relative RNA per cell coefficient and </w:t>
      </w:r>
      <w:proofErr w:type="spellStart"/>
      <w:r w:rsidRPr="00D67307">
        <w:rPr>
          <w:rFonts w:ascii="Arial" w:eastAsia="Arial" w:hAnsi="Arial" w:cs="Arial"/>
          <w:sz w:val="24"/>
          <w:szCs w:val="24"/>
        </w:rPr>
        <w:t>cellR</w:t>
      </w:r>
      <w:r w:rsidRPr="00D67307">
        <w:rPr>
          <w:rFonts w:ascii="Arial" w:eastAsia="Arial" w:hAnsi="Arial" w:cs="Arial"/>
          <w:sz w:val="24"/>
          <w:szCs w:val="24"/>
          <w:vertAlign w:val="subscript"/>
        </w:rPr>
        <w:t>cell</w:t>
      </w:r>
      <w:proofErr w:type="spellEnd"/>
      <w:r w:rsidRPr="00D67307">
        <w:rPr>
          <w:rFonts w:ascii="Arial" w:eastAsia="Arial" w:hAnsi="Arial" w:cs="Arial"/>
          <w:sz w:val="24"/>
          <w:szCs w:val="24"/>
        </w:rPr>
        <w:t>=1.</w:t>
      </w:r>
    </w:p>
    <w:p w14:paraId="57E8AF69"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Cell types or subtypes that included or were a subset of the used types were recalculated according to the change in used types.</w:t>
      </w:r>
    </w:p>
    <w:p w14:paraId="152C3F7A" w14:textId="77777777" w:rsidR="0090095E" w:rsidRPr="00D67307" w:rsidRDefault="0090095E" w:rsidP="006C5B53">
      <w:pPr>
        <w:spacing w:line="360" w:lineRule="auto"/>
        <w:jc w:val="both"/>
        <w:rPr>
          <w:rFonts w:ascii="Arial" w:eastAsia="Arial" w:hAnsi="Arial" w:cs="Arial"/>
          <w:sz w:val="24"/>
          <w:szCs w:val="24"/>
        </w:rPr>
      </w:pPr>
    </w:p>
    <w:p w14:paraId="5D8BE996" w14:textId="77777777" w:rsidR="0090095E" w:rsidRPr="00D67307" w:rsidRDefault="0090095E" w:rsidP="006C5B53">
      <w:pPr>
        <w:shd w:val="clear" w:color="auto" w:fill="FFFFFF"/>
        <w:spacing w:before="120" w:after="120" w:line="360" w:lineRule="auto"/>
        <w:jc w:val="both"/>
        <w:rPr>
          <w:rFonts w:ascii="Arial" w:eastAsia="Arial" w:hAnsi="Arial" w:cs="Arial"/>
          <w:b/>
          <w:sz w:val="24"/>
          <w:szCs w:val="24"/>
        </w:rPr>
      </w:pPr>
      <w:r w:rsidRPr="00D67307">
        <w:rPr>
          <w:rFonts w:ascii="Arial" w:eastAsia="Arial" w:hAnsi="Arial" w:cs="Arial"/>
          <w:b/>
          <w:sz w:val="24"/>
          <w:szCs w:val="24"/>
        </w:rPr>
        <w:t xml:space="preserve">MFP TME identification </w:t>
      </w:r>
    </w:p>
    <w:p w14:paraId="5B8CF728" w14:textId="77777777" w:rsidR="0090095E" w:rsidRPr="00D67307" w:rsidRDefault="0090095E" w:rsidP="006C5B53">
      <w:pPr>
        <w:pBdr>
          <w:top w:val="nil"/>
          <w:left w:val="nil"/>
          <w:bottom w:val="nil"/>
          <w:right w:val="nil"/>
          <w:between w:val="nil"/>
        </w:pBdr>
        <w:spacing w:after="0" w:line="360" w:lineRule="auto"/>
        <w:jc w:val="both"/>
        <w:rPr>
          <w:rFonts w:ascii="Arial" w:eastAsia="Arial" w:hAnsi="Arial" w:cs="Arial"/>
          <w:sz w:val="24"/>
          <w:szCs w:val="24"/>
        </w:rPr>
      </w:pPr>
      <w:r w:rsidRPr="00D67307">
        <w:rPr>
          <w:rFonts w:ascii="Arial" w:hAnsi="Arial" w:cs="Arial"/>
          <w:color w:val="000000"/>
          <w:sz w:val="24"/>
          <w:szCs w:val="24"/>
        </w:rPr>
        <w:t xml:space="preserve">The TME signatures were curated from the previous study in diffuse large B cell </w:t>
      </w:r>
      <w:r w:rsidRPr="00D67307">
        <w:rPr>
          <w:rFonts w:ascii="Arial" w:eastAsia="Arial" w:hAnsi="Arial" w:cs="Arial"/>
          <w:color w:val="000000"/>
          <w:sz w:val="24"/>
          <w:szCs w:val="24"/>
        </w:rPr>
        <w:t>lymphoma (10.1158/2159-8290.CD-20-0839).</w:t>
      </w:r>
      <w:r w:rsidRPr="00D67307">
        <w:rPr>
          <w:rFonts w:ascii="Arial" w:hAnsi="Arial" w:cs="Arial"/>
          <w:color w:val="000000"/>
          <w:sz w:val="24"/>
          <w:szCs w:val="24"/>
        </w:rPr>
        <w:t xml:space="preserve"> Functional gene expression signatures (F-GES) of tumor microenvironmental cells, cellular states, physiological and pathological processes and signaling pathways were developed using a combination of gene expression signatures and literature curation. F-GES for cell types were obtained from purified gene expression cell population signatures manually curated to include only those genes that are exclusively expressed in the defined cell type or specifically associated </w:t>
      </w:r>
      <w:r w:rsidRPr="00D67307">
        <w:rPr>
          <w:rFonts w:ascii="Arial" w:eastAsia="Arial" w:hAnsi="Arial" w:cs="Arial"/>
          <w:sz w:val="24"/>
          <w:szCs w:val="24"/>
        </w:rPr>
        <w:t>with a particular</w:t>
      </w:r>
      <w:r w:rsidRPr="00D67307">
        <w:rPr>
          <w:rFonts w:ascii="Arial" w:hAnsi="Arial" w:cs="Arial"/>
          <w:color w:val="000000"/>
          <w:sz w:val="24"/>
          <w:szCs w:val="24"/>
        </w:rPr>
        <w:t xml:space="preserve"> biological process using data from more than 500 publications. </w:t>
      </w:r>
    </w:p>
    <w:p w14:paraId="49F2A74D" w14:textId="77777777" w:rsidR="0090095E" w:rsidRPr="00D67307" w:rsidRDefault="0090095E" w:rsidP="006C5B53">
      <w:pPr>
        <w:pBdr>
          <w:top w:val="nil"/>
          <w:left w:val="nil"/>
          <w:bottom w:val="nil"/>
          <w:right w:val="nil"/>
          <w:between w:val="nil"/>
        </w:pBdr>
        <w:spacing w:after="0" w:line="360" w:lineRule="auto"/>
        <w:ind w:firstLine="720"/>
        <w:jc w:val="both"/>
        <w:rPr>
          <w:rFonts w:ascii="Arial" w:hAnsi="Arial" w:cs="Arial"/>
          <w:color w:val="000000"/>
          <w:sz w:val="24"/>
          <w:szCs w:val="24"/>
        </w:rPr>
      </w:pPr>
      <w:r w:rsidRPr="00D67307">
        <w:rPr>
          <w:rFonts w:ascii="Arial" w:hAnsi="Arial" w:cs="Arial"/>
          <w:color w:val="000000"/>
          <w:sz w:val="24"/>
          <w:szCs w:val="24"/>
        </w:rPr>
        <w:t>Signature scores were calculated using</w:t>
      </w:r>
      <w:r w:rsidRPr="00D67307">
        <w:rPr>
          <w:rFonts w:ascii="Arial" w:eastAsia="Arial" w:hAnsi="Arial" w:cs="Arial"/>
          <w:sz w:val="24"/>
          <w:szCs w:val="24"/>
        </w:rPr>
        <w:t xml:space="preserve"> </w:t>
      </w:r>
      <w:r w:rsidRPr="00D67307">
        <w:rPr>
          <w:rFonts w:ascii="Arial" w:hAnsi="Arial" w:cs="Arial"/>
          <w:color w:val="000000"/>
          <w:sz w:val="24"/>
          <w:szCs w:val="24"/>
        </w:rPr>
        <w:t xml:space="preserve">in-house python implementation of the </w:t>
      </w:r>
      <w:proofErr w:type="spellStart"/>
      <w:r w:rsidRPr="00D67307">
        <w:rPr>
          <w:rFonts w:ascii="Arial" w:hAnsi="Arial" w:cs="Arial"/>
          <w:color w:val="000000"/>
          <w:sz w:val="24"/>
          <w:szCs w:val="24"/>
        </w:rPr>
        <w:t>ssGSEA</w:t>
      </w:r>
      <w:proofErr w:type="spellEnd"/>
      <w:r w:rsidRPr="00D67307">
        <w:rPr>
          <w:rFonts w:ascii="Arial" w:hAnsi="Arial" w:cs="Arial"/>
          <w:color w:val="000000"/>
          <w:sz w:val="24"/>
          <w:szCs w:val="24"/>
        </w:rPr>
        <w:t>.</w:t>
      </w:r>
      <w:r w:rsidRPr="00D67307">
        <w:rPr>
          <w:rFonts w:ascii="Arial" w:eastAsia="Arial" w:hAnsi="Arial" w:cs="Arial"/>
          <w:sz w:val="24"/>
          <w:szCs w:val="24"/>
        </w:rPr>
        <w:t xml:space="preserve"> F-GES intensities were median-transformed in MDA and Scott et al. cohorts separately and then combined. </w:t>
      </w:r>
      <w:r w:rsidRPr="00D67307">
        <w:rPr>
          <w:rFonts w:ascii="Arial" w:hAnsi="Arial" w:cs="Arial"/>
          <w:color w:val="000000"/>
          <w:sz w:val="24"/>
          <w:szCs w:val="24"/>
        </w:rPr>
        <w:t xml:space="preserve">TME clustering: F GES signatures were used to identify microenvironmental patterns among MCL gene expression samples by unsupervised dense clustering using the Louvain method for community detection. Inter-sample similarity was calculated using Pearson correlation. The resulting distance matrix was converted into a graph where each sample formed a </w:t>
      </w:r>
      <w:proofErr w:type="gramStart"/>
      <w:r w:rsidRPr="00D67307">
        <w:rPr>
          <w:rFonts w:ascii="Arial" w:hAnsi="Arial" w:cs="Arial"/>
          <w:color w:val="000000"/>
          <w:sz w:val="24"/>
          <w:szCs w:val="24"/>
        </w:rPr>
        <w:t>node</w:t>
      </w:r>
      <w:proofErr w:type="gramEnd"/>
      <w:r w:rsidRPr="00D67307">
        <w:rPr>
          <w:rFonts w:ascii="Arial" w:hAnsi="Arial" w:cs="Arial"/>
          <w:color w:val="000000"/>
          <w:sz w:val="24"/>
          <w:szCs w:val="24"/>
        </w:rPr>
        <w:t xml:space="preserve"> and two nodes formed an edge </w:t>
      </w:r>
      <w:r w:rsidRPr="00D67307">
        <w:rPr>
          <w:rFonts w:ascii="Arial" w:hAnsi="Arial" w:cs="Arial"/>
          <w:color w:val="000000"/>
          <w:sz w:val="24"/>
          <w:szCs w:val="24"/>
        </w:rPr>
        <w:lastRenderedPageBreak/>
        <w:t xml:space="preserve">with weight equal to the pair’s Pearson correlation. Edges with weight lower than specified </w:t>
      </w:r>
      <w:r w:rsidRPr="00D67307">
        <w:rPr>
          <w:rFonts w:ascii="Arial" w:eastAsia="Arial" w:hAnsi="Arial" w:cs="Arial"/>
          <w:color w:val="000000"/>
          <w:sz w:val="24"/>
          <w:szCs w:val="24"/>
        </w:rPr>
        <w:t>threshold</w:t>
      </w:r>
      <w:r w:rsidRPr="00D67307">
        <w:rPr>
          <w:rFonts w:ascii="Arial" w:eastAsia="Arial" w:hAnsi="Arial" w:cs="Arial"/>
          <w:sz w:val="24"/>
          <w:szCs w:val="24"/>
        </w:rPr>
        <w:t xml:space="preserve"> (0.45)</w:t>
      </w:r>
      <w:r w:rsidRPr="00D67307">
        <w:rPr>
          <w:rFonts w:ascii="Arial" w:hAnsi="Arial" w:cs="Arial"/>
          <w:color w:val="000000"/>
          <w:sz w:val="24"/>
          <w:szCs w:val="24"/>
        </w:rPr>
        <w:t xml:space="preserve"> were removed and the Louvain community detection algorithm was applied to calculate graph partitioning into clusters. To mathematically determine the optimum threshold for observed clusters we employed minimum David </w:t>
      </w:r>
      <w:proofErr w:type="spellStart"/>
      <w:r w:rsidRPr="00D67307">
        <w:rPr>
          <w:rFonts w:ascii="Arial" w:hAnsi="Arial" w:cs="Arial"/>
          <w:color w:val="000000"/>
          <w:sz w:val="24"/>
          <w:szCs w:val="24"/>
        </w:rPr>
        <w:t>Bolduin</w:t>
      </w:r>
      <w:proofErr w:type="spellEnd"/>
      <w:r w:rsidRPr="00D67307">
        <w:rPr>
          <w:rFonts w:ascii="Arial" w:hAnsi="Arial" w:cs="Arial"/>
          <w:color w:val="000000"/>
          <w:sz w:val="24"/>
          <w:szCs w:val="24"/>
        </w:rPr>
        <w:t xml:space="preserve">, maximum </w:t>
      </w:r>
      <w:proofErr w:type="spellStart"/>
      <w:r w:rsidRPr="00D67307">
        <w:rPr>
          <w:rFonts w:ascii="Arial" w:hAnsi="Arial" w:cs="Arial"/>
          <w:color w:val="000000"/>
          <w:sz w:val="24"/>
          <w:szCs w:val="24"/>
        </w:rPr>
        <w:t>Calinski</w:t>
      </w:r>
      <w:proofErr w:type="spellEnd"/>
      <w:r w:rsidRPr="00D67307">
        <w:rPr>
          <w:rFonts w:ascii="Arial" w:hAnsi="Arial" w:cs="Arial"/>
          <w:color w:val="000000"/>
          <w:sz w:val="24"/>
          <w:szCs w:val="24"/>
        </w:rPr>
        <w:t xml:space="preserve"> </w:t>
      </w:r>
      <w:proofErr w:type="spellStart"/>
      <w:r w:rsidRPr="00D67307">
        <w:rPr>
          <w:rFonts w:ascii="Arial" w:hAnsi="Arial" w:cs="Arial"/>
          <w:color w:val="000000"/>
          <w:sz w:val="24"/>
          <w:szCs w:val="24"/>
        </w:rPr>
        <w:t>Harabasz</w:t>
      </w:r>
      <w:proofErr w:type="spellEnd"/>
      <w:r w:rsidRPr="00D67307">
        <w:rPr>
          <w:rFonts w:ascii="Arial" w:hAnsi="Arial" w:cs="Arial"/>
          <w:color w:val="000000"/>
          <w:sz w:val="24"/>
          <w:szCs w:val="24"/>
        </w:rPr>
        <w:t xml:space="preserve"> and Silhouette scores excluding separations with low-populated clusters (&lt; 5% of samples).</w:t>
      </w:r>
    </w:p>
    <w:p w14:paraId="7D0912C8" w14:textId="77777777" w:rsidR="0090095E" w:rsidRPr="00D67307" w:rsidRDefault="0090095E" w:rsidP="006C5B53">
      <w:pPr>
        <w:spacing w:line="360" w:lineRule="auto"/>
        <w:jc w:val="both"/>
        <w:rPr>
          <w:rFonts w:ascii="Arial" w:eastAsia="Arial" w:hAnsi="Arial" w:cs="Arial"/>
          <w:b/>
          <w:sz w:val="24"/>
          <w:szCs w:val="24"/>
        </w:rPr>
      </w:pPr>
      <w:r w:rsidRPr="00D67307">
        <w:rPr>
          <w:rFonts w:ascii="Arial" w:eastAsia="Arial" w:hAnsi="Arial" w:cs="Arial"/>
          <w:b/>
          <w:sz w:val="24"/>
          <w:szCs w:val="24"/>
        </w:rPr>
        <w:t xml:space="preserve">B-cell Receptor Repertoire Assessment </w:t>
      </w:r>
    </w:p>
    <w:p w14:paraId="60226C61"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 xml:space="preserve">To process immunome data from RNA sequences into quantitated clonotypes, we applied </w:t>
      </w:r>
      <w:proofErr w:type="spellStart"/>
      <w:r w:rsidRPr="00D67307">
        <w:rPr>
          <w:rFonts w:ascii="Arial" w:eastAsia="Arial" w:hAnsi="Arial" w:cs="Arial"/>
          <w:sz w:val="24"/>
          <w:szCs w:val="24"/>
        </w:rPr>
        <w:t>MiXCR</w:t>
      </w:r>
      <w:proofErr w:type="spellEnd"/>
      <w:r w:rsidRPr="00D67307">
        <w:rPr>
          <w:rFonts w:ascii="Arial" w:eastAsia="Arial" w:hAnsi="Arial" w:cs="Arial"/>
          <w:sz w:val="24"/>
          <w:szCs w:val="24"/>
        </w:rPr>
        <w:t xml:space="preserve"> v2.1.7 (Bolotin DA, </w:t>
      </w:r>
      <w:proofErr w:type="spellStart"/>
      <w:r w:rsidRPr="00D67307">
        <w:rPr>
          <w:rFonts w:ascii="Arial" w:eastAsia="Arial" w:hAnsi="Arial" w:cs="Arial"/>
          <w:sz w:val="24"/>
          <w:szCs w:val="24"/>
        </w:rPr>
        <w:t>Poslavsky</w:t>
      </w:r>
      <w:proofErr w:type="spellEnd"/>
      <w:r w:rsidRPr="00D67307">
        <w:rPr>
          <w:rFonts w:ascii="Arial" w:eastAsia="Arial" w:hAnsi="Arial" w:cs="Arial"/>
          <w:sz w:val="24"/>
          <w:szCs w:val="24"/>
        </w:rPr>
        <w:t xml:space="preserve"> S, Davydov AN, Frenkel FE, </w:t>
      </w:r>
      <w:proofErr w:type="spellStart"/>
      <w:r w:rsidRPr="00D67307">
        <w:rPr>
          <w:rFonts w:ascii="Arial" w:eastAsia="Arial" w:hAnsi="Arial" w:cs="Arial"/>
          <w:sz w:val="24"/>
          <w:szCs w:val="24"/>
        </w:rPr>
        <w:t>Fanchi</w:t>
      </w:r>
      <w:proofErr w:type="spellEnd"/>
      <w:r w:rsidRPr="00D67307">
        <w:rPr>
          <w:rFonts w:ascii="Arial" w:eastAsia="Arial" w:hAnsi="Arial" w:cs="Arial"/>
          <w:sz w:val="24"/>
          <w:szCs w:val="24"/>
        </w:rPr>
        <w:t xml:space="preserve"> L, </w:t>
      </w:r>
      <w:proofErr w:type="spellStart"/>
      <w:r w:rsidRPr="00D67307">
        <w:rPr>
          <w:rFonts w:ascii="Arial" w:eastAsia="Arial" w:hAnsi="Arial" w:cs="Arial"/>
          <w:sz w:val="24"/>
          <w:szCs w:val="24"/>
        </w:rPr>
        <w:t>Zolotareva</w:t>
      </w:r>
      <w:proofErr w:type="spellEnd"/>
      <w:r w:rsidRPr="00D67307">
        <w:rPr>
          <w:rFonts w:ascii="Arial" w:eastAsia="Arial" w:hAnsi="Arial" w:cs="Arial"/>
          <w:sz w:val="24"/>
          <w:szCs w:val="24"/>
        </w:rPr>
        <w:t xml:space="preserve"> OI, et al. Antigen receptor repertoire profiling from RNA-seq data. Nat </w:t>
      </w:r>
      <w:proofErr w:type="spellStart"/>
      <w:r w:rsidRPr="00D67307">
        <w:rPr>
          <w:rFonts w:ascii="Arial" w:eastAsia="Arial" w:hAnsi="Arial" w:cs="Arial"/>
          <w:sz w:val="24"/>
          <w:szCs w:val="24"/>
        </w:rPr>
        <w:t>Biotechnol</w:t>
      </w:r>
      <w:proofErr w:type="spellEnd"/>
      <w:r w:rsidRPr="00D67307">
        <w:rPr>
          <w:rFonts w:ascii="Arial" w:eastAsia="Arial" w:hAnsi="Arial" w:cs="Arial"/>
          <w:sz w:val="24"/>
          <w:szCs w:val="24"/>
        </w:rPr>
        <w:t xml:space="preserve"> </w:t>
      </w:r>
      <w:proofErr w:type="gramStart"/>
      <w:r w:rsidRPr="00D67307">
        <w:rPr>
          <w:rFonts w:ascii="Arial" w:eastAsia="Arial" w:hAnsi="Arial" w:cs="Arial"/>
          <w:sz w:val="24"/>
          <w:szCs w:val="24"/>
        </w:rPr>
        <w:t>2017;35:908</w:t>
      </w:r>
      <w:proofErr w:type="gramEnd"/>
      <w:r w:rsidRPr="00D67307">
        <w:rPr>
          <w:rFonts w:ascii="Arial" w:eastAsia="Arial" w:hAnsi="Arial" w:cs="Arial"/>
          <w:sz w:val="24"/>
          <w:szCs w:val="24"/>
        </w:rPr>
        <w:t>–11.). Single clonotypes were grouped into clones with unique VDJ combination and identical CDR3 nucleotide sequences. For B cells, the clones were further aggregated into clone groups if the VDJ combination was the same and CDR3 nucleotide sequences differed no more than 1 nucleotide. The biggest clone group was assigned as tumor if the absolute clonotype counts &gt; 20; the relative clonotype counts &gt; 5%; the ratio of the second biggest group to the first &lt; 0.6 and the group contains an enriched clone &gt; 25%. The tumor light chain was called if there was an enriched clonotype in one of the light chains. In cases with an enriched clone in both chains, the biggest by absolute counts was selected.</w:t>
      </w:r>
    </w:p>
    <w:p w14:paraId="23A4AA78"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b/>
          <w:sz w:val="24"/>
          <w:szCs w:val="24"/>
        </w:rPr>
        <w:t>RNA mutation calling</w:t>
      </w:r>
    </w:p>
    <w:p w14:paraId="7F2C8047" w14:textId="77777777" w:rsidR="0090095E" w:rsidRPr="00D67307" w:rsidRDefault="0090095E" w:rsidP="006C5B53">
      <w:pPr>
        <w:spacing w:line="360" w:lineRule="auto"/>
        <w:jc w:val="both"/>
        <w:rPr>
          <w:rFonts w:ascii="Arial" w:eastAsia="Arial" w:hAnsi="Arial" w:cs="Arial"/>
          <w:sz w:val="24"/>
          <w:szCs w:val="24"/>
        </w:rPr>
      </w:pPr>
      <w:r w:rsidRPr="00D67307">
        <w:rPr>
          <w:rFonts w:ascii="Arial" w:eastAsia="Arial" w:hAnsi="Arial" w:cs="Arial"/>
          <w:sz w:val="24"/>
          <w:szCs w:val="24"/>
        </w:rPr>
        <w:t xml:space="preserve">Mutation calling from </w:t>
      </w:r>
      <w:proofErr w:type="spellStart"/>
      <w:r w:rsidRPr="00D67307">
        <w:rPr>
          <w:rFonts w:ascii="Arial" w:eastAsia="Arial" w:hAnsi="Arial" w:cs="Arial"/>
          <w:sz w:val="24"/>
          <w:szCs w:val="24"/>
        </w:rPr>
        <w:t>RNASeq</w:t>
      </w:r>
      <w:proofErr w:type="spellEnd"/>
      <w:r w:rsidRPr="00D67307">
        <w:rPr>
          <w:rFonts w:ascii="Arial" w:eastAsia="Arial" w:hAnsi="Arial" w:cs="Arial"/>
          <w:sz w:val="24"/>
          <w:szCs w:val="24"/>
        </w:rPr>
        <w:t xml:space="preserve"> was performed using </w:t>
      </w:r>
      <w:proofErr w:type="spellStart"/>
      <w:r w:rsidRPr="00D67307">
        <w:rPr>
          <w:rFonts w:ascii="Arial" w:eastAsia="Arial" w:hAnsi="Arial" w:cs="Arial"/>
          <w:sz w:val="24"/>
          <w:szCs w:val="24"/>
        </w:rPr>
        <w:t>strelka</w:t>
      </w:r>
      <w:proofErr w:type="spellEnd"/>
      <w:r w:rsidRPr="00D67307">
        <w:rPr>
          <w:rFonts w:ascii="Arial" w:eastAsia="Arial" w:hAnsi="Arial" w:cs="Arial"/>
          <w:sz w:val="24"/>
          <w:szCs w:val="24"/>
        </w:rPr>
        <w:t xml:space="preserve"> germline. Then potential germline mutations were filtered according to max allele frequency in the human population and variant allele frequency in the data.</w:t>
      </w:r>
    </w:p>
    <w:p w14:paraId="694216F5" w14:textId="77777777" w:rsidR="0090095E" w:rsidRPr="00D67307" w:rsidRDefault="0090095E" w:rsidP="006C5B53">
      <w:pPr>
        <w:spacing w:line="360" w:lineRule="auto"/>
        <w:jc w:val="both"/>
        <w:rPr>
          <w:rFonts w:ascii="Arial" w:eastAsia="Arial" w:hAnsi="Arial" w:cs="Arial"/>
          <w:sz w:val="24"/>
          <w:szCs w:val="24"/>
        </w:rPr>
      </w:pPr>
    </w:p>
    <w:p w14:paraId="277795E3" w14:textId="77777777" w:rsidR="0090095E" w:rsidRPr="00D67307" w:rsidRDefault="0090095E" w:rsidP="006C5B53">
      <w:pPr>
        <w:spacing w:line="480" w:lineRule="auto"/>
        <w:jc w:val="both"/>
        <w:rPr>
          <w:rFonts w:ascii="Arial" w:eastAsia="Times New Roman" w:hAnsi="Arial" w:cs="Arial"/>
          <w:b/>
          <w:sz w:val="24"/>
          <w:szCs w:val="24"/>
        </w:rPr>
      </w:pPr>
    </w:p>
    <w:p w14:paraId="31BDF9FC" w14:textId="77777777" w:rsidR="0090095E" w:rsidRPr="00D67307" w:rsidRDefault="0090095E" w:rsidP="006C5B53">
      <w:pPr>
        <w:spacing w:line="480" w:lineRule="auto"/>
        <w:jc w:val="both"/>
        <w:rPr>
          <w:rFonts w:ascii="Arial" w:eastAsia="Times New Roman" w:hAnsi="Arial" w:cs="Arial"/>
          <w:b/>
          <w:sz w:val="24"/>
          <w:szCs w:val="24"/>
        </w:rPr>
      </w:pPr>
      <w:r w:rsidRPr="00D67307">
        <w:rPr>
          <w:rFonts w:ascii="Arial" w:eastAsia="Times New Roman" w:hAnsi="Arial" w:cs="Arial"/>
          <w:b/>
          <w:sz w:val="24"/>
          <w:szCs w:val="24"/>
        </w:rPr>
        <w:t xml:space="preserve">References - </w:t>
      </w:r>
    </w:p>
    <w:p w14:paraId="602C0E30" w14:textId="77777777" w:rsidR="0090095E" w:rsidRPr="00D67307" w:rsidRDefault="0090095E" w:rsidP="0090095E">
      <w:pPr>
        <w:pStyle w:val="EndNoteBibliography"/>
        <w:jc w:val="both"/>
      </w:pPr>
      <w:r w:rsidRPr="00D67307">
        <w:t>1.</w:t>
      </w:r>
      <w:r w:rsidRPr="00D67307">
        <w:tab/>
        <w:t xml:space="preserve">Li H and Durbin R. Fast and accurate short read alignment with Burrows-Wheeler transform. </w:t>
      </w:r>
      <w:r w:rsidRPr="00D67307">
        <w:rPr>
          <w:i/>
        </w:rPr>
        <w:t>Bioinformatics</w:t>
      </w:r>
      <w:r w:rsidRPr="00D67307">
        <w:t xml:space="preserve"> 2009; 25: 1754-1760. DOI: 10.1093/bioinformatics/btp324.</w:t>
      </w:r>
    </w:p>
    <w:p w14:paraId="152938E2" w14:textId="77777777" w:rsidR="0090095E" w:rsidRPr="00D67307" w:rsidRDefault="0090095E" w:rsidP="0090095E">
      <w:pPr>
        <w:pStyle w:val="EndNoteBibliography"/>
        <w:jc w:val="both"/>
      </w:pPr>
      <w:r w:rsidRPr="00D67307">
        <w:lastRenderedPageBreak/>
        <w:t>2.</w:t>
      </w:r>
      <w:r w:rsidRPr="00D67307">
        <w:tab/>
        <w:t xml:space="preserve">DePristo MA, Banks E, Poplin R, et al. A framework for variation discovery and genotyping using next-generation DNA sequencing data. </w:t>
      </w:r>
      <w:r w:rsidRPr="00D67307">
        <w:rPr>
          <w:i/>
        </w:rPr>
        <w:t>Nat Genet</w:t>
      </w:r>
      <w:r w:rsidRPr="00D67307">
        <w:t xml:space="preserve"> 2011; 43: 491-498. DOI: 10.1038/ng.806.</w:t>
      </w:r>
    </w:p>
    <w:p w14:paraId="6977E9BA" w14:textId="77777777" w:rsidR="0090095E" w:rsidRPr="00D67307" w:rsidRDefault="0090095E" w:rsidP="0090095E">
      <w:pPr>
        <w:pStyle w:val="EndNoteBibliography"/>
        <w:jc w:val="both"/>
      </w:pPr>
      <w:r w:rsidRPr="00D67307">
        <w:t>3.</w:t>
      </w:r>
      <w:r w:rsidRPr="00D67307">
        <w:tab/>
        <w:t xml:space="preserve">Rimmer A, Phan H, Mathieson I, et al. Integrating mapping-, assembly- and haplotype-based approaches for calling variants in clinical sequencing applications. </w:t>
      </w:r>
      <w:r w:rsidRPr="00D67307">
        <w:rPr>
          <w:i/>
        </w:rPr>
        <w:t>Nat Genet</w:t>
      </w:r>
      <w:r w:rsidRPr="00D67307">
        <w:t xml:space="preserve"> 2014; 46: 912-918. DOI: 10.1038/ng.3036.</w:t>
      </w:r>
    </w:p>
    <w:p w14:paraId="384E642E" w14:textId="77777777" w:rsidR="0090095E" w:rsidRPr="00D67307" w:rsidRDefault="0090095E" w:rsidP="0090095E">
      <w:pPr>
        <w:pStyle w:val="EndNoteBibliography"/>
        <w:jc w:val="both"/>
      </w:pPr>
      <w:r w:rsidRPr="00D67307">
        <w:t>4.</w:t>
      </w:r>
      <w:r w:rsidRPr="00D67307">
        <w:tab/>
        <w:t xml:space="preserve">Cibulskis K, Lawrence MS, Carter SL, et al. Sensitive detection of somatic point mutations in impure and heterogeneous cancer samples. </w:t>
      </w:r>
      <w:r w:rsidRPr="00D67307">
        <w:rPr>
          <w:i/>
        </w:rPr>
        <w:t>Nat Biotechnol</w:t>
      </w:r>
      <w:r w:rsidRPr="00D67307">
        <w:t xml:space="preserve"> 2013; 31: 213-219. DOI: 10.1038/nbt.2514.</w:t>
      </w:r>
    </w:p>
    <w:p w14:paraId="326609DC" w14:textId="77777777" w:rsidR="0090095E" w:rsidRPr="00D67307" w:rsidRDefault="0090095E" w:rsidP="0090095E">
      <w:pPr>
        <w:pStyle w:val="EndNoteBibliography"/>
        <w:jc w:val="both"/>
      </w:pPr>
      <w:r w:rsidRPr="00D67307">
        <w:t>5.</w:t>
      </w:r>
      <w:r w:rsidRPr="00D67307">
        <w:tab/>
        <w:t xml:space="preserve">Ye K, Schulz MH, Long Q, et al. Pindel: a pattern growth approach to detect break points of large deletions and medium sized insertions from paired-end short reads. </w:t>
      </w:r>
      <w:r w:rsidRPr="00D67307">
        <w:rPr>
          <w:i/>
        </w:rPr>
        <w:t>Bioinformatics</w:t>
      </w:r>
      <w:r w:rsidRPr="00D67307">
        <w:t xml:space="preserve"> 2009; 25: 2865-2871. DOI: 10.1093/bioinformatics/btp394.</w:t>
      </w:r>
    </w:p>
    <w:p w14:paraId="0F950BE6" w14:textId="77777777" w:rsidR="0090095E" w:rsidRPr="00D67307" w:rsidRDefault="0090095E" w:rsidP="0090095E">
      <w:pPr>
        <w:pStyle w:val="EndNoteBibliography"/>
        <w:jc w:val="both"/>
      </w:pPr>
      <w:r w:rsidRPr="00D67307">
        <w:t>6.</w:t>
      </w:r>
      <w:r w:rsidRPr="00D67307">
        <w:tab/>
        <w:t xml:space="preserve">Liu X, Wu C, Li C, et al. dbNSFP v3.0: A One-Stop Database of Functional Predictions and Annotations for Human Nonsynonymous and Splice-Site SNVs. </w:t>
      </w:r>
      <w:r w:rsidRPr="00D67307">
        <w:rPr>
          <w:i/>
        </w:rPr>
        <w:t>Hum Mutat</w:t>
      </w:r>
      <w:r w:rsidRPr="00D67307">
        <w:t xml:space="preserve"> 2016; 37: 235-241. DOI: 10.1002/humu.22932.</w:t>
      </w:r>
    </w:p>
    <w:p w14:paraId="63F63B43" w14:textId="77777777" w:rsidR="0090095E" w:rsidRPr="00D67307" w:rsidRDefault="0090095E" w:rsidP="0090095E">
      <w:pPr>
        <w:pStyle w:val="EndNoteBibliography"/>
        <w:jc w:val="both"/>
      </w:pPr>
      <w:r w:rsidRPr="00D67307">
        <w:t>7.</w:t>
      </w:r>
      <w:r w:rsidRPr="00D67307">
        <w:tab/>
        <w:t xml:space="preserve">Adzhubei I, Jordan DM and Sunyaev SR. Predicting functional effect of human missense mutations using PolyPhen-2. </w:t>
      </w:r>
      <w:r w:rsidRPr="00D67307">
        <w:rPr>
          <w:i/>
        </w:rPr>
        <w:t>Curr Protoc Hum Genet</w:t>
      </w:r>
      <w:r w:rsidRPr="00D67307">
        <w:t xml:space="preserve"> 2013; Chapter 7: Unit7 20. DOI: 10.1002/0471142905.hg0720s76.</w:t>
      </w:r>
    </w:p>
    <w:p w14:paraId="784C68D4" w14:textId="77777777" w:rsidR="0090095E" w:rsidRPr="00D67307" w:rsidRDefault="0090095E" w:rsidP="0090095E">
      <w:pPr>
        <w:pStyle w:val="EndNoteBibliography"/>
        <w:jc w:val="both"/>
      </w:pPr>
      <w:r w:rsidRPr="00D67307">
        <w:t>8.</w:t>
      </w:r>
      <w:r w:rsidRPr="00D67307">
        <w:tab/>
        <w:t xml:space="preserve">Kumar P, Henikoff S and Ng PC. Predicting the effects of coding non-synonymous variants on protein function using the SIFT algorithm. </w:t>
      </w:r>
      <w:r w:rsidRPr="00D67307">
        <w:rPr>
          <w:i/>
        </w:rPr>
        <w:t>Nat Protoc</w:t>
      </w:r>
      <w:r w:rsidRPr="00D67307">
        <w:t xml:space="preserve"> 2009; 4: 1073-1081. DOI: 10.1038/nprot.2009.86.</w:t>
      </w:r>
    </w:p>
    <w:p w14:paraId="265E9802" w14:textId="77777777" w:rsidR="0090095E" w:rsidRPr="00D67307" w:rsidRDefault="0090095E" w:rsidP="0090095E">
      <w:pPr>
        <w:pStyle w:val="EndNoteBibliography"/>
        <w:jc w:val="both"/>
      </w:pPr>
      <w:r w:rsidRPr="00D67307">
        <w:t>9.</w:t>
      </w:r>
      <w:r w:rsidRPr="00D67307">
        <w:tab/>
        <w:t xml:space="preserve">Schwarz JM, Cooper DN, Schuelke M, et al. MutationTaster2: mutation prediction for the deep-sequencing age. </w:t>
      </w:r>
      <w:r w:rsidRPr="00D67307">
        <w:rPr>
          <w:i/>
        </w:rPr>
        <w:t>Nat Methods</w:t>
      </w:r>
      <w:r w:rsidRPr="00D67307">
        <w:t xml:space="preserve"> 2014; 11: 361-362. DOI: 10.1038/nmeth.2890.</w:t>
      </w:r>
    </w:p>
    <w:p w14:paraId="15FA5C78" w14:textId="77777777" w:rsidR="0090095E" w:rsidRPr="00D67307" w:rsidRDefault="0090095E" w:rsidP="0090095E">
      <w:pPr>
        <w:pStyle w:val="EndNoteBibliography"/>
        <w:jc w:val="both"/>
      </w:pPr>
      <w:r w:rsidRPr="00D67307">
        <w:t>10.</w:t>
      </w:r>
      <w:r w:rsidRPr="00D67307">
        <w:tab/>
        <w:t xml:space="preserve">Reva B, Antipin Y and Sander C. Predicting the functional impact of protein mutations: application to cancer genomics. </w:t>
      </w:r>
      <w:r w:rsidRPr="00D67307">
        <w:rPr>
          <w:i/>
        </w:rPr>
        <w:t>Nucleic Acids Res</w:t>
      </w:r>
      <w:r w:rsidRPr="00D67307">
        <w:t xml:space="preserve"> 2011; 39: e118. DOI: 10.1093/nar/gkr407.</w:t>
      </w:r>
    </w:p>
    <w:p w14:paraId="40BA35F8" w14:textId="77777777" w:rsidR="0090095E" w:rsidRPr="00D67307" w:rsidRDefault="0090095E" w:rsidP="0090095E">
      <w:pPr>
        <w:pStyle w:val="EndNoteBibliography"/>
        <w:jc w:val="both"/>
      </w:pPr>
      <w:r w:rsidRPr="00D67307">
        <w:t>11.</w:t>
      </w:r>
      <w:r w:rsidRPr="00D67307">
        <w:tab/>
        <w:t xml:space="preserve">Chun S and Fay JC. Identification of deleterious mutations within three human genomes. </w:t>
      </w:r>
      <w:r w:rsidRPr="00D67307">
        <w:rPr>
          <w:i/>
        </w:rPr>
        <w:t>Genome Res</w:t>
      </w:r>
      <w:r w:rsidRPr="00D67307">
        <w:t xml:space="preserve"> 2009; 19: 1553-1561. DOI: 10.1101/gr.092619.109.</w:t>
      </w:r>
    </w:p>
    <w:p w14:paraId="42B544C8" w14:textId="77777777" w:rsidR="0090095E" w:rsidRPr="00D67307" w:rsidRDefault="0090095E" w:rsidP="0090095E">
      <w:pPr>
        <w:pStyle w:val="EndNoteBibliography"/>
        <w:jc w:val="both"/>
      </w:pPr>
      <w:r w:rsidRPr="00D67307">
        <w:t>12.</w:t>
      </w:r>
      <w:r w:rsidRPr="00D67307">
        <w:tab/>
        <w:t xml:space="preserve">Shihab HA, Rogers MF, Gough J, et al. An integrative approach to predicting the functional effects of non-coding and coding sequence variation. </w:t>
      </w:r>
      <w:r w:rsidRPr="00D67307">
        <w:rPr>
          <w:i/>
        </w:rPr>
        <w:t>Bioinformatics</w:t>
      </w:r>
      <w:r w:rsidRPr="00D67307">
        <w:t xml:space="preserve"> 2015; 31: 1536-1543. DOI: 10.1093/bioinformatics/btv009.</w:t>
      </w:r>
    </w:p>
    <w:p w14:paraId="3F1C96C1" w14:textId="77777777" w:rsidR="0090095E" w:rsidRPr="00D67307" w:rsidRDefault="0090095E" w:rsidP="0090095E">
      <w:pPr>
        <w:pStyle w:val="EndNoteBibliography"/>
        <w:jc w:val="both"/>
      </w:pPr>
      <w:r w:rsidRPr="00D67307">
        <w:t>13.</w:t>
      </w:r>
      <w:r w:rsidRPr="00D67307">
        <w:tab/>
        <w:t xml:space="preserve">Quang D, Chen Y and Xie X. DANN: a deep learning approach for annotating the pathogenicity of genetic variants. </w:t>
      </w:r>
      <w:r w:rsidRPr="00D67307">
        <w:rPr>
          <w:i/>
        </w:rPr>
        <w:t>Bioinformatics</w:t>
      </w:r>
      <w:r w:rsidRPr="00D67307">
        <w:t xml:space="preserve"> 2015; 31: 761-763. DOI: 10.1093/bioinformatics/btu703.</w:t>
      </w:r>
    </w:p>
    <w:p w14:paraId="46D04BBF" w14:textId="77777777" w:rsidR="0090095E" w:rsidRPr="00D67307" w:rsidRDefault="0090095E" w:rsidP="0090095E">
      <w:pPr>
        <w:pStyle w:val="EndNoteBibliography"/>
        <w:jc w:val="both"/>
      </w:pPr>
      <w:r w:rsidRPr="00D67307">
        <w:t>14.</w:t>
      </w:r>
      <w:r w:rsidRPr="00D67307">
        <w:tab/>
        <w:t xml:space="preserve">Choi Y, Sims GE, Murphy S, et al. Predicting the functional effect of amino acid substitutions and indels. </w:t>
      </w:r>
      <w:r w:rsidRPr="00D67307">
        <w:rPr>
          <w:i/>
        </w:rPr>
        <w:t>PLoS One</w:t>
      </w:r>
      <w:r w:rsidRPr="00D67307">
        <w:t xml:space="preserve"> 2012; 7: e46688. DOI: 10.1371/journal.pone.0046688.</w:t>
      </w:r>
    </w:p>
    <w:p w14:paraId="3FF6ABDD" w14:textId="77777777" w:rsidR="0090095E" w:rsidRPr="00D67307" w:rsidRDefault="0090095E" w:rsidP="0090095E">
      <w:pPr>
        <w:pStyle w:val="EndNoteBibliography"/>
        <w:jc w:val="both"/>
      </w:pPr>
      <w:r w:rsidRPr="00D67307">
        <w:t>15.</w:t>
      </w:r>
      <w:r w:rsidRPr="00D67307">
        <w:tab/>
        <w:t xml:space="preserve">Carter H, Douville C, Stenson PD, et al. Identifying Mendelian disease genes with the variant effect scoring tool. </w:t>
      </w:r>
      <w:r w:rsidRPr="00D67307">
        <w:rPr>
          <w:i/>
        </w:rPr>
        <w:t>BMC Genomics</w:t>
      </w:r>
      <w:r w:rsidRPr="00D67307">
        <w:t xml:space="preserve"> 2013; 14 Suppl 3: S3. DOI: 10.1186/1471-2164-14-S3-S3.</w:t>
      </w:r>
    </w:p>
    <w:p w14:paraId="752C1014" w14:textId="77777777" w:rsidR="0090095E" w:rsidRPr="00D67307" w:rsidRDefault="0090095E" w:rsidP="0090095E">
      <w:pPr>
        <w:pStyle w:val="EndNoteBibliography"/>
        <w:jc w:val="both"/>
      </w:pPr>
      <w:r w:rsidRPr="00D67307">
        <w:t>16.</w:t>
      </w:r>
      <w:r w:rsidRPr="00D67307">
        <w:tab/>
        <w:t xml:space="preserve">Kircher M, Witten DM, Jain P, et al. A general framework for estimating the relative pathogenicity of human genetic variants. </w:t>
      </w:r>
      <w:r w:rsidRPr="00D67307">
        <w:rPr>
          <w:i/>
        </w:rPr>
        <w:t>Nat Genet</w:t>
      </w:r>
      <w:r w:rsidRPr="00D67307">
        <w:t xml:space="preserve"> 2014; 46: 310-315. DOI: 10.1038/ng.2892.</w:t>
      </w:r>
    </w:p>
    <w:p w14:paraId="3671C474" w14:textId="77777777" w:rsidR="0090095E" w:rsidRPr="00D67307" w:rsidRDefault="0090095E" w:rsidP="0090095E">
      <w:pPr>
        <w:pStyle w:val="EndNoteBibliography"/>
        <w:jc w:val="both"/>
      </w:pPr>
      <w:r w:rsidRPr="00D67307">
        <w:t>17.</w:t>
      </w:r>
      <w:r w:rsidRPr="00D67307">
        <w:tab/>
        <w:t xml:space="preserve">Davydov EV, Goode DL, Sirota M, et al. Identifying a high fraction of the human genome to be under selective constraint using GERP++. </w:t>
      </w:r>
      <w:r w:rsidRPr="00D67307">
        <w:rPr>
          <w:i/>
        </w:rPr>
        <w:t>PLoS Comput Biol</w:t>
      </w:r>
      <w:r w:rsidRPr="00D67307">
        <w:t xml:space="preserve"> 2010; 6: e1001025. DOI: 10.1371/journal.pcbi.1001025.</w:t>
      </w:r>
    </w:p>
    <w:p w14:paraId="458A7347" w14:textId="77777777" w:rsidR="0090095E" w:rsidRPr="00D67307" w:rsidRDefault="0090095E" w:rsidP="0090095E">
      <w:pPr>
        <w:pStyle w:val="EndNoteBibliography"/>
        <w:jc w:val="both"/>
      </w:pPr>
      <w:r w:rsidRPr="00D67307">
        <w:t>18.</w:t>
      </w:r>
      <w:r w:rsidRPr="00D67307">
        <w:tab/>
        <w:t xml:space="preserve">Dong C, Wei P, Jian X, et al. Comparison and integration of deleteriousness prediction methods for nonsynonymous SNVs in whole exome sequencing studies. </w:t>
      </w:r>
      <w:r w:rsidRPr="00D67307">
        <w:rPr>
          <w:i/>
        </w:rPr>
        <w:t>Hum Mol Genet</w:t>
      </w:r>
      <w:r w:rsidRPr="00D67307">
        <w:t xml:space="preserve"> 2015; 24: 2125-2137. DOI: 10.1093/hmg/ddu733.</w:t>
      </w:r>
    </w:p>
    <w:p w14:paraId="6B753C2A" w14:textId="77777777" w:rsidR="0090095E" w:rsidRPr="00D67307" w:rsidRDefault="0090095E" w:rsidP="0090095E">
      <w:pPr>
        <w:pStyle w:val="EndNoteBibliography"/>
        <w:jc w:val="both"/>
      </w:pPr>
      <w:r w:rsidRPr="00D67307">
        <w:lastRenderedPageBreak/>
        <w:t>19.</w:t>
      </w:r>
      <w:r w:rsidRPr="00D67307">
        <w:tab/>
        <w:t xml:space="preserve">Zhang J, Fujimoto J, Zhang J, et al. Intratumor heterogeneity in localized lung adenocarcinomas delineated by multiregion sequencing. </w:t>
      </w:r>
      <w:r w:rsidRPr="00D67307">
        <w:rPr>
          <w:i/>
        </w:rPr>
        <w:t>Science</w:t>
      </w:r>
      <w:r w:rsidRPr="00D67307">
        <w:t xml:space="preserve"> 2014; 346: 256-259. DOI: 10.1126/science.1256930.</w:t>
      </w:r>
    </w:p>
    <w:p w14:paraId="0B91FB24" w14:textId="77777777" w:rsidR="0090095E" w:rsidRPr="00D67307" w:rsidRDefault="0090095E" w:rsidP="0090095E">
      <w:pPr>
        <w:pStyle w:val="EndNoteBibliography"/>
        <w:jc w:val="both"/>
      </w:pPr>
      <w:r w:rsidRPr="00D67307">
        <w:t>20.</w:t>
      </w:r>
      <w:r w:rsidRPr="00D67307">
        <w:tab/>
        <w:t xml:space="preserve">Olshen AB, Venkatraman ES, Lucito R, et al. Circular binary segmentation for the analysis of array-based DNA copy number data. </w:t>
      </w:r>
      <w:r w:rsidRPr="00D67307">
        <w:rPr>
          <w:i/>
        </w:rPr>
        <w:t>Biostatistics</w:t>
      </w:r>
      <w:r w:rsidRPr="00D67307">
        <w:t xml:space="preserve"> 2004; 5: 557-572. DOI: 10.1093/biostatistics/kxh008.</w:t>
      </w:r>
    </w:p>
    <w:p w14:paraId="7A5C4C7F" w14:textId="77777777" w:rsidR="0090095E" w:rsidRPr="00D67307" w:rsidRDefault="0090095E" w:rsidP="0090095E">
      <w:pPr>
        <w:pStyle w:val="EndNoteBibliography"/>
        <w:jc w:val="both"/>
      </w:pPr>
    </w:p>
    <w:p w14:paraId="41EF9BB9" w14:textId="77777777" w:rsidR="0090095E" w:rsidRPr="00D67307" w:rsidRDefault="0090095E" w:rsidP="0090095E">
      <w:pPr>
        <w:spacing w:line="240" w:lineRule="auto"/>
        <w:jc w:val="both"/>
        <w:rPr>
          <w:rFonts w:ascii="Times New Roman" w:eastAsia="Times New Roman" w:hAnsi="Times New Roman" w:cs="Times New Roman"/>
          <w:sz w:val="24"/>
          <w:szCs w:val="24"/>
        </w:rPr>
      </w:pPr>
    </w:p>
    <w:p w14:paraId="2035DE27" w14:textId="77777777" w:rsidR="0090095E" w:rsidRPr="00D67307" w:rsidRDefault="0090095E" w:rsidP="0090095E">
      <w:pPr>
        <w:spacing w:line="240" w:lineRule="auto"/>
        <w:jc w:val="both"/>
        <w:rPr>
          <w:rFonts w:ascii="Times New Roman" w:eastAsia="Times New Roman" w:hAnsi="Times New Roman" w:cs="Times New Roman"/>
          <w:sz w:val="24"/>
          <w:szCs w:val="24"/>
        </w:rPr>
      </w:pPr>
    </w:p>
    <w:p w14:paraId="28EB2D56" w14:textId="77777777" w:rsidR="0090095E" w:rsidRPr="00D67307" w:rsidRDefault="0090095E">
      <w:pPr>
        <w:rPr>
          <w:rFonts w:ascii="Arial" w:hAnsi="Arial" w:cs="Arial"/>
          <w:b/>
          <w:sz w:val="24"/>
          <w:szCs w:val="24"/>
        </w:rPr>
      </w:pPr>
      <w:bookmarkStart w:id="8" w:name="_heading=h.e92awnqrg5n0" w:colFirst="0" w:colLast="0"/>
      <w:bookmarkEnd w:id="8"/>
      <w:r w:rsidRPr="00D67307">
        <w:rPr>
          <w:rFonts w:ascii="Arial" w:hAnsi="Arial" w:cs="Arial"/>
          <w:b/>
          <w:sz w:val="24"/>
          <w:szCs w:val="24"/>
        </w:rPr>
        <w:br w:type="page"/>
      </w:r>
    </w:p>
    <w:p w14:paraId="0FA0DC5C" w14:textId="07470C97" w:rsidR="004E2BAC" w:rsidRPr="00D67307" w:rsidRDefault="004E2BAC" w:rsidP="004E2BAC">
      <w:pPr>
        <w:spacing w:line="240" w:lineRule="auto"/>
        <w:jc w:val="center"/>
        <w:rPr>
          <w:rFonts w:ascii="Arial" w:hAnsi="Arial" w:cs="Arial"/>
          <w:b/>
          <w:sz w:val="24"/>
          <w:szCs w:val="24"/>
        </w:rPr>
      </w:pPr>
      <w:r w:rsidRPr="00D67307">
        <w:rPr>
          <w:rFonts w:ascii="Arial" w:hAnsi="Arial" w:cs="Arial"/>
          <w:b/>
          <w:sz w:val="24"/>
          <w:szCs w:val="24"/>
        </w:rPr>
        <w:lastRenderedPageBreak/>
        <w:t>Supplemental Table-1 Baseline patient characteristics (n=</w:t>
      </w:r>
      <w:r w:rsidR="001B131B" w:rsidRPr="00D67307">
        <w:rPr>
          <w:rFonts w:ascii="Arial" w:hAnsi="Arial" w:cs="Arial"/>
          <w:b/>
          <w:sz w:val="24"/>
          <w:szCs w:val="24"/>
        </w:rPr>
        <w:t>4</w:t>
      </w:r>
      <w:r w:rsidR="001B5B57" w:rsidRPr="00D67307">
        <w:rPr>
          <w:rFonts w:ascii="Arial" w:hAnsi="Arial" w:cs="Arial"/>
          <w:b/>
          <w:sz w:val="24"/>
          <w:szCs w:val="24"/>
        </w:rPr>
        <w:t>1</w:t>
      </w:r>
      <w:r w:rsidRPr="00D67307">
        <w:rPr>
          <w:rFonts w:ascii="Arial" w:hAnsi="Arial" w:cs="Arial"/>
          <w:b/>
          <w:sz w:val="24"/>
          <w:szCs w:val="24"/>
        </w:rPr>
        <w:t>)</w:t>
      </w:r>
    </w:p>
    <w:p w14:paraId="034B2B49" w14:textId="77777777" w:rsidR="004E2BAC" w:rsidRPr="00D67307" w:rsidRDefault="004E2BAC">
      <w:pPr>
        <w:rPr>
          <w:rFonts w:ascii="Arial" w:hAnsi="Arial" w:cs="Arial"/>
          <w:b/>
          <w:sz w:val="24"/>
          <w:szCs w:val="24"/>
        </w:rPr>
      </w:pPr>
    </w:p>
    <w:p w14:paraId="70899447" w14:textId="72501D87" w:rsidR="00AA04C7" w:rsidRPr="00D67307" w:rsidRDefault="00AA04C7">
      <w:pPr>
        <w:rPr>
          <w:rFonts w:ascii="Arial" w:hAnsi="Arial" w:cs="Arial"/>
          <w:bCs/>
          <w:i/>
          <w:iCs/>
          <w:sz w:val="24"/>
          <w:szCs w:val="24"/>
        </w:rPr>
        <w:sectPr w:rsidR="00AA04C7" w:rsidRPr="00D67307">
          <w:pgSz w:w="12240" w:h="15840"/>
          <w:pgMar w:top="1440" w:right="1440" w:bottom="1440" w:left="1440" w:header="720" w:footer="720" w:gutter="0"/>
          <w:cols w:space="720"/>
          <w:docGrid w:linePitch="360"/>
        </w:sectPr>
      </w:pPr>
    </w:p>
    <w:tbl>
      <w:tblPr>
        <w:tblW w:w="13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1176"/>
        <w:gridCol w:w="917"/>
        <w:gridCol w:w="891"/>
        <w:gridCol w:w="1517"/>
        <w:gridCol w:w="903"/>
        <w:gridCol w:w="2417"/>
        <w:gridCol w:w="5020"/>
      </w:tblGrid>
      <w:tr w:rsidR="0070126B" w:rsidRPr="00D67307" w14:paraId="50097EB0" w14:textId="77777777" w:rsidTr="00857A51">
        <w:trPr>
          <w:trHeight w:val="1257"/>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18979718" w14:textId="46EF78EE" w:rsidR="0070126B" w:rsidRPr="00D67307" w:rsidRDefault="0070126B" w:rsidP="00B23CB2">
            <w:pPr>
              <w:rPr>
                <w:rFonts w:ascii="Arial" w:eastAsia="Times New Roman" w:hAnsi="Arial" w:cs="Arial"/>
                <w:b/>
                <w:bCs/>
                <w:color w:val="FF0000"/>
                <w:sz w:val="20"/>
                <w:szCs w:val="20"/>
              </w:rPr>
            </w:pPr>
            <w:r w:rsidRPr="00D67307">
              <w:rPr>
                <w:rFonts w:ascii="Arial" w:eastAsia="Times New Roman" w:hAnsi="Arial" w:cs="Arial"/>
                <w:b/>
                <w:bCs/>
                <w:color w:val="FF0000"/>
                <w:sz w:val="20"/>
                <w:szCs w:val="20"/>
              </w:rPr>
              <w:lastRenderedPageBreak/>
              <w:t>Pat code</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4594D12E" w14:textId="77777777" w:rsidR="0070126B" w:rsidRPr="00D67307" w:rsidRDefault="0070126B" w:rsidP="00B23CB2">
            <w:pPr>
              <w:rPr>
                <w:rFonts w:ascii="Arial" w:eastAsia="Times New Roman" w:hAnsi="Arial" w:cs="Arial"/>
                <w:b/>
                <w:bCs/>
                <w:sz w:val="20"/>
                <w:szCs w:val="20"/>
              </w:rPr>
            </w:pPr>
            <w:r w:rsidRPr="00D67307">
              <w:rPr>
                <w:rFonts w:ascii="Arial" w:eastAsia="Times New Roman" w:hAnsi="Arial" w:cs="Arial"/>
                <w:b/>
                <w:bCs/>
                <w:sz w:val="20"/>
                <w:szCs w:val="20"/>
              </w:rPr>
              <w:t>Age at treatment start</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929B151" w14:textId="77777777" w:rsidR="0070126B" w:rsidRPr="00D67307" w:rsidRDefault="0070126B" w:rsidP="00B23CB2">
            <w:pPr>
              <w:rPr>
                <w:rFonts w:ascii="Arial" w:eastAsia="Times New Roman" w:hAnsi="Arial" w:cs="Arial"/>
                <w:b/>
                <w:bCs/>
                <w:sz w:val="20"/>
                <w:szCs w:val="20"/>
              </w:rPr>
            </w:pPr>
            <w:r w:rsidRPr="00D67307">
              <w:rPr>
                <w:rFonts w:ascii="Arial" w:eastAsia="Times New Roman" w:hAnsi="Arial" w:cs="Arial"/>
                <w:b/>
                <w:bCs/>
                <w:sz w:val="20"/>
                <w:szCs w:val="20"/>
              </w:rPr>
              <w:t>Gender</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4F8467F0" w14:textId="61414534" w:rsidR="0070126B" w:rsidRPr="00D67307" w:rsidRDefault="0070126B" w:rsidP="00B23CB2">
            <w:pPr>
              <w:rPr>
                <w:rFonts w:ascii="Arial" w:eastAsia="Times New Roman" w:hAnsi="Arial" w:cs="Arial"/>
                <w:b/>
                <w:bCs/>
                <w:sz w:val="20"/>
                <w:szCs w:val="20"/>
              </w:rPr>
            </w:pPr>
            <w:r w:rsidRPr="00D67307">
              <w:rPr>
                <w:rFonts w:ascii="Arial" w:eastAsia="Times New Roman" w:hAnsi="Arial" w:cs="Arial"/>
                <w:b/>
                <w:bCs/>
                <w:sz w:val="20"/>
                <w:szCs w:val="20"/>
              </w:rPr>
              <w:t>Ki-67% in tissue</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4131BCD7" w14:textId="77777777" w:rsidR="0070126B" w:rsidRPr="00D67307" w:rsidRDefault="0070126B" w:rsidP="00B23CB2">
            <w:pPr>
              <w:rPr>
                <w:rFonts w:ascii="Arial" w:eastAsia="Times New Roman" w:hAnsi="Arial" w:cs="Arial"/>
                <w:b/>
                <w:bCs/>
                <w:sz w:val="20"/>
                <w:szCs w:val="20"/>
              </w:rPr>
            </w:pPr>
            <w:r w:rsidRPr="00D67307">
              <w:rPr>
                <w:rFonts w:ascii="Arial" w:eastAsia="Times New Roman" w:hAnsi="Arial" w:cs="Arial"/>
                <w:b/>
                <w:bCs/>
                <w:sz w:val="20"/>
                <w:szCs w:val="20"/>
              </w:rPr>
              <w:t>Tissue Type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2C26491E" w14:textId="77777777" w:rsidR="0070126B" w:rsidRPr="00D67307" w:rsidRDefault="0070126B" w:rsidP="00B23CB2">
            <w:pPr>
              <w:rPr>
                <w:rFonts w:ascii="Arial" w:eastAsia="Times New Roman" w:hAnsi="Arial" w:cs="Arial"/>
                <w:b/>
                <w:bCs/>
                <w:sz w:val="20"/>
                <w:szCs w:val="20"/>
              </w:rPr>
            </w:pPr>
            <w:r w:rsidRPr="00D67307">
              <w:rPr>
                <w:rFonts w:ascii="Arial" w:eastAsia="Times New Roman" w:hAnsi="Arial" w:cs="Arial"/>
                <w:b/>
                <w:bCs/>
                <w:sz w:val="20"/>
                <w:szCs w:val="20"/>
              </w:rPr>
              <w:t>OS (Days)</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53CFC28A" w14:textId="77777777" w:rsidR="0070126B" w:rsidRPr="00D67307" w:rsidRDefault="0070126B" w:rsidP="00B23CB2">
            <w:pPr>
              <w:rPr>
                <w:rFonts w:ascii="Arial" w:eastAsia="Times New Roman" w:hAnsi="Arial" w:cs="Arial"/>
                <w:b/>
                <w:bCs/>
                <w:sz w:val="20"/>
                <w:szCs w:val="20"/>
              </w:rPr>
            </w:pPr>
            <w:proofErr w:type="spellStart"/>
            <w:r w:rsidRPr="00D67307">
              <w:rPr>
                <w:rFonts w:ascii="Arial" w:eastAsia="Times New Roman" w:hAnsi="Arial" w:cs="Arial"/>
                <w:b/>
                <w:bCs/>
                <w:sz w:val="20"/>
                <w:szCs w:val="20"/>
              </w:rPr>
              <w:t>BTKi_response</w:t>
            </w:r>
            <w:proofErr w:type="spellEnd"/>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5DE908F5" w14:textId="77777777" w:rsidR="0070126B" w:rsidRPr="00D67307" w:rsidRDefault="0070126B" w:rsidP="00B23CB2">
            <w:pPr>
              <w:rPr>
                <w:rFonts w:ascii="Arial" w:eastAsia="Times New Roman" w:hAnsi="Arial" w:cs="Arial"/>
                <w:b/>
                <w:bCs/>
                <w:sz w:val="20"/>
                <w:szCs w:val="20"/>
              </w:rPr>
            </w:pPr>
            <w:r w:rsidRPr="00D67307">
              <w:rPr>
                <w:rFonts w:ascii="Arial" w:eastAsia="Times New Roman" w:hAnsi="Arial" w:cs="Arial"/>
                <w:b/>
                <w:bCs/>
                <w:sz w:val="20"/>
                <w:szCs w:val="20"/>
              </w:rPr>
              <w:t>Treatments</w:t>
            </w:r>
          </w:p>
        </w:tc>
      </w:tr>
      <w:tr w:rsidR="0070126B" w:rsidRPr="00D67307" w14:paraId="37EA49D8"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174DFE0E" w14:textId="77777777"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Pat-01</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74D7D7AC"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69</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1779E164"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39C86F34"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90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5C0BBB8D" w14:textId="77777777" w:rsidR="00E178CF" w:rsidRPr="00D67307" w:rsidRDefault="00E178CF" w:rsidP="00B23CB2">
            <w:pPr>
              <w:rPr>
                <w:rFonts w:ascii="Arial" w:eastAsia="Times New Roman" w:hAnsi="Arial" w:cs="Arial"/>
                <w:sz w:val="20"/>
                <w:szCs w:val="20"/>
              </w:rPr>
            </w:pPr>
            <w:r w:rsidRPr="00D67307">
              <w:rPr>
                <w:rFonts w:ascii="Arial" w:eastAsia="Times New Roman" w:hAnsi="Arial" w:cs="Arial"/>
                <w:sz w:val="20"/>
                <w:szCs w:val="20"/>
              </w:rPr>
              <w:t>Mediastinal</w:t>
            </w:r>
          </w:p>
          <w:p w14:paraId="29054D1E" w14:textId="75410FE5"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4B6C521D"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262</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596F0B0"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3A6B0D4E" w14:textId="3596D467" w:rsidR="0070126B" w:rsidRPr="00D67307" w:rsidRDefault="0070126B" w:rsidP="00B23CB2">
            <w:pPr>
              <w:rPr>
                <w:rFonts w:ascii="Arial" w:eastAsia="Times New Roman" w:hAnsi="Arial" w:cs="Arial"/>
                <w:sz w:val="20"/>
                <w:szCs w:val="20"/>
              </w:rPr>
            </w:pPr>
            <w:proofErr w:type="spellStart"/>
            <w:r w:rsidRPr="00D67307">
              <w:rPr>
                <w:rFonts w:ascii="Arial" w:eastAsia="Times New Roman" w:hAnsi="Arial" w:cs="Arial"/>
                <w:sz w:val="20"/>
                <w:szCs w:val="20"/>
              </w:rPr>
              <w:t>Dex</w:t>
            </w:r>
            <w:proofErr w:type="spellEnd"/>
            <w:r w:rsidRPr="00D67307">
              <w:rPr>
                <w:rFonts w:ascii="Arial" w:eastAsia="Times New Roman" w:hAnsi="Arial" w:cs="Arial"/>
                <w:sz w:val="20"/>
                <w:szCs w:val="20"/>
              </w:rPr>
              <w:t>; R-CHOP×4; R-DHAP×2, carfilzomib-ibrutinib progression</w:t>
            </w:r>
          </w:p>
        </w:tc>
      </w:tr>
      <w:tr w:rsidR="0070126B" w:rsidRPr="00D67307" w14:paraId="1084A7B1"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321FBB83" w14:textId="77777777"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Pat-02</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6BB47456"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83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04DFF564"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1ED5B168"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3109C3BE"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5EA7213F"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335.0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4CB343D4"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2A04AD9A" w14:textId="205149F8"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R-CVPx6 with maintenance Rituxan (2006), BR x4 (2016), IR (10/2016) and radiation (stopped ibrutinib 3/2017 due to rash and a-fib), Len-rituximab, Len</w:t>
            </w:r>
          </w:p>
        </w:tc>
      </w:tr>
      <w:tr w:rsidR="0070126B" w:rsidRPr="00D67307" w14:paraId="5A73B508"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4C21F45C" w14:textId="77777777"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Pat-03</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721B22E9"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72</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161741C7"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15432FF6"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85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329A174F" w14:textId="4BBAB68D" w:rsidR="0070126B" w:rsidRPr="00D67307" w:rsidRDefault="00E178CF"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5C7CF522"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557.0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40D50579"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763E98AA" w14:textId="19490351"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 xml:space="preserve">BR-bortezomib, R-HCVAD, Zanubrutinib, ibrutinib progression in 1 cycle then Bortezomib, </w:t>
            </w:r>
            <w:proofErr w:type="spellStart"/>
            <w:r w:rsidRPr="00D67307">
              <w:rPr>
                <w:rFonts w:ascii="Arial" w:eastAsia="Times New Roman" w:hAnsi="Arial" w:cs="Arial"/>
                <w:sz w:val="20"/>
                <w:szCs w:val="20"/>
              </w:rPr>
              <w:t>len</w:t>
            </w:r>
            <w:proofErr w:type="spellEnd"/>
            <w:r w:rsidRPr="00D67307">
              <w:rPr>
                <w:rFonts w:ascii="Arial" w:eastAsia="Times New Roman" w:hAnsi="Arial" w:cs="Arial"/>
                <w:sz w:val="20"/>
                <w:szCs w:val="20"/>
              </w:rPr>
              <w:t xml:space="preserve"> rituximab, dexamethasone</w:t>
            </w:r>
          </w:p>
        </w:tc>
      </w:tr>
      <w:tr w:rsidR="0070126B" w:rsidRPr="00D67307" w14:paraId="007DE5E5"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23F4D6BD" w14:textId="77777777"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Pat-04</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14BD2BEB"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384A87E6"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1E4C5EDE"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55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F6E4F92"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65EF4869"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1109.0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27B9E313"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0D18839D"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R-CHOP alternating with Cytarabine (Nordic) + SCT, relapse (11/2015), IR+ radiation, anti-CD19 CAR-T cells</w:t>
            </w:r>
          </w:p>
        </w:tc>
      </w:tr>
      <w:tr w:rsidR="0070126B" w:rsidRPr="00D67307" w14:paraId="283A8CC3"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8E93D15" w14:textId="77777777"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Pat-05</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1306530A"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71</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4AC674B"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15039F16"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60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D81C194"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15EC0849"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104.0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B0690DE"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51759DFB" w14:textId="49CC4986"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R-CHOP x6, SCT (1/2012) + maintenance Rituxan (until 2014), BRx6 (2015), Ibrutinib, R-</w:t>
            </w:r>
            <w:proofErr w:type="spellStart"/>
            <w:r w:rsidRPr="00D67307">
              <w:rPr>
                <w:rFonts w:ascii="Arial" w:eastAsia="Times New Roman" w:hAnsi="Arial" w:cs="Arial"/>
                <w:sz w:val="20"/>
                <w:szCs w:val="20"/>
              </w:rPr>
              <w:t>HyperCytoxan</w:t>
            </w:r>
            <w:proofErr w:type="spellEnd"/>
            <w:r w:rsidRPr="00D67307">
              <w:rPr>
                <w:rFonts w:ascii="Arial" w:eastAsia="Times New Roman" w:hAnsi="Arial" w:cs="Arial"/>
                <w:sz w:val="20"/>
                <w:szCs w:val="20"/>
              </w:rPr>
              <w:t>-dexamethasone + radiation, Fludarabine cyclophosphamide, and intrathecal chemotherapy for CNS disease (5/27/2016)</w:t>
            </w:r>
          </w:p>
        </w:tc>
      </w:tr>
      <w:tr w:rsidR="0070126B" w:rsidRPr="00D67307" w14:paraId="2633D1A7"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6936E1DD" w14:textId="77777777"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Pat-06</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2F8B1066"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76</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0500D706"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0C45BCFA"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90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50CF56A5" w14:textId="756488E9" w:rsidR="0070126B" w:rsidRPr="00D67307" w:rsidRDefault="00E178CF" w:rsidP="00B23CB2">
            <w:pPr>
              <w:rPr>
                <w:rFonts w:ascii="Arial" w:eastAsia="Times New Roman" w:hAnsi="Arial" w:cs="Arial"/>
                <w:sz w:val="20"/>
                <w:szCs w:val="20"/>
              </w:rPr>
            </w:pPr>
            <w:r w:rsidRPr="00D67307">
              <w:rPr>
                <w:rFonts w:ascii="Arial" w:eastAsia="Times New Roman" w:hAnsi="Arial" w:cs="Arial"/>
                <w:sz w:val="20"/>
                <w:szCs w:val="20"/>
              </w:rPr>
              <w:t xml:space="preserve">Soft </w:t>
            </w:r>
            <w:r w:rsidR="0070126B" w:rsidRPr="00D67307">
              <w:rPr>
                <w:rFonts w:ascii="Arial" w:eastAsia="Times New Roman" w:hAnsi="Arial" w:cs="Arial"/>
                <w:sz w:val="20"/>
                <w:szCs w:val="20"/>
              </w:rPr>
              <w:t>Tissue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3D3BC964"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1119.0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39A9C5D0"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1AB17DCD"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 xml:space="preserve">Rituximab, BRx4, R-Hyper-CVAD + IT chemo one cycle, IR, SCT, </w:t>
            </w:r>
            <w:proofErr w:type="spellStart"/>
            <w:r w:rsidRPr="00D67307">
              <w:rPr>
                <w:rFonts w:ascii="Arial" w:eastAsia="Times New Roman" w:hAnsi="Arial" w:cs="Arial"/>
                <w:sz w:val="20"/>
                <w:szCs w:val="20"/>
              </w:rPr>
              <w:t>Ofa</w:t>
            </w:r>
            <w:proofErr w:type="spellEnd"/>
            <w:r w:rsidRPr="00D67307">
              <w:rPr>
                <w:rFonts w:ascii="Arial" w:eastAsia="Times New Roman" w:hAnsi="Arial" w:cs="Arial"/>
                <w:sz w:val="20"/>
                <w:szCs w:val="20"/>
              </w:rPr>
              <w:t xml:space="preserve"> + Ibrutinib, Len-rituximab, bortezomib with Dexamethasone, DLI (7/2016), Ibrutinib (9/2017) then switched to Venetoclax + </w:t>
            </w:r>
            <w:proofErr w:type="gramStart"/>
            <w:r w:rsidRPr="00D67307">
              <w:rPr>
                <w:rFonts w:ascii="Arial" w:eastAsia="Times New Roman" w:hAnsi="Arial" w:cs="Arial"/>
                <w:sz w:val="20"/>
                <w:szCs w:val="20"/>
              </w:rPr>
              <w:t>radiation(</w:t>
            </w:r>
            <w:proofErr w:type="gramEnd"/>
            <w:r w:rsidRPr="00D67307">
              <w:rPr>
                <w:rFonts w:ascii="Arial" w:eastAsia="Times New Roman" w:hAnsi="Arial" w:cs="Arial"/>
                <w:sz w:val="20"/>
                <w:szCs w:val="20"/>
              </w:rPr>
              <w:t>10/2017)</w:t>
            </w:r>
          </w:p>
        </w:tc>
      </w:tr>
      <w:tr w:rsidR="0070126B" w:rsidRPr="00D67307" w14:paraId="3FF704E4"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5B1CD130" w14:textId="2B013DC9"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Pat-07</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3289BB7A"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63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68EA0445"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74B2B9CF"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65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9ACB69A"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11E5FC94"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168.0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3F1769F2"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NA</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6E07E55D"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R-HCVAD then BR then zanubrutinib for 10 days then stopped due to infections</w:t>
            </w:r>
          </w:p>
        </w:tc>
      </w:tr>
      <w:tr w:rsidR="0070126B" w:rsidRPr="00D67307" w14:paraId="7FA3F823"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02837A78" w14:textId="69AC090E"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Pat-08</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289CEC7C"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57</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2729104A"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D62A60B"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2DC23234"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0E0CBED9"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1029.0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A024906"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0ADDF245" w14:textId="7EA110B2"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Bortezomib-R-HCVAD then acalabrutinib then progression then carfilzomib-ibrutinib then anti-CD19 CART</w:t>
            </w:r>
          </w:p>
        </w:tc>
      </w:tr>
      <w:tr w:rsidR="0070126B" w:rsidRPr="00D67307" w14:paraId="67E0FA00"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507343F6" w14:textId="07E45168"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Pat-9</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0B005959"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71</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277063C1"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1DAFB457"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90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7BA7B07"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680E8532"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860.0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018BE36"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328D0AB8" w14:textId="18D7158A" w:rsidR="0070126B" w:rsidRPr="00D67307" w:rsidRDefault="007014F2" w:rsidP="00B23CB2">
            <w:pPr>
              <w:rPr>
                <w:rFonts w:ascii="Arial" w:eastAsia="Times New Roman" w:hAnsi="Arial" w:cs="Arial"/>
                <w:sz w:val="20"/>
                <w:szCs w:val="20"/>
              </w:rPr>
            </w:pPr>
            <w:r w:rsidRPr="00D67307">
              <w:rPr>
                <w:rFonts w:ascii="Arial" w:eastAsia="Times New Roman" w:hAnsi="Arial" w:cs="Arial"/>
                <w:sz w:val="20"/>
                <w:szCs w:val="20"/>
              </w:rPr>
              <w:t>Bortezomib-R-HCVAD then IR then splenectomy then anti-CD19 CART</w:t>
            </w:r>
            <w:r w:rsidRPr="00D67307" w:rsidDel="00E178CF">
              <w:rPr>
                <w:rFonts w:ascii="Arial" w:eastAsia="Times New Roman" w:hAnsi="Arial" w:cs="Arial"/>
                <w:sz w:val="20"/>
                <w:szCs w:val="20"/>
              </w:rPr>
              <w:t xml:space="preserve"> </w:t>
            </w:r>
          </w:p>
        </w:tc>
      </w:tr>
      <w:tr w:rsidR="0070126B" w:rsidRPr="00D67307" w14:paraId="48345400" w14:textId="77777777" w:rsidTr="00857A51">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3CE3C4F1" w14:textId="5D13A4CC"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t>Pat-10</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2B30EEEA"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79</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0F4A5CA7"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32D13DBF"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15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04741C7D" w14:textId="0E621618" w:rsidR="0070126B" w:rsidRPr="00D67307" w:rsidRDefault="00E178CF"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75759231"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334.0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3A765724" w14:textId="63F64AB8" w:rsidR="0070126B" w:rsidRPr="00D67307" w:rsidRDefault="007014F2" w:rsidP="00B23CB2">
            <w:pPr>
              <w:rPr>
                <w:rFonts w:ascii="Arial" w:eastAsia="Times New Roman" w:hAnsi="Arial" w:cs="Arial"/>
                <w:sz w:val="20"/>
                <w:szCs w:val="20"/>
              </w:rPr>
            </w:pPr>
            <w:r w:rsidRPr="00D67307">
              <w:rPr>
                <w:rFonts w:ascii="Arial" w:eastAsia="Times New Roman" w:hAnsi="Arial" w:cs="Arial"/>
                <w:sz w:val="20"/>
                <w:szCs w:val="20"/>
              </w:rPr>
              <w:t>Acquired</w:t>
            </w:r>
            <w:r w:rsidR="00E178CF" w:rsidRPr="00D67307">
              <w:rPr>
                <w:rFonts w:ascii="Arial" w:eastAsia="Times New Roman" w:hAnsi="Arial" w:cs="Arial"/>
                <w:sz w:val="20"/>
                <w:szCs w:val="20"/>
              </w:rPr>
              <w:t xml:space="preserve"> </w:t>
            </w:r>
            <w:r w:rsidR="0070126B" w:rsidRPr="00D67307">
              <w:rPr>
                <w:rFonts w:ascii="Arial" w:eastAsia="Times New Roman" w:hAnsi="Arial" w:cs="Arial"/>
                <w:sz w:val="20"/>
                <w:szCs w:val="20"/>
              </w:rPr>
              <w:t>Resistance</w:t>
            </w:r>
          </w:p>
        </w:tc>
        <w:tc>
          <w:tcPr>
            <w:tcW w:w="5020" w:type="dxa"/>
            <w:tcBorders>
              <w:top w:val="single" w:sz="4" w:space="0" w:color="auto"/>
              <w:left w:val="single" w:sz="4" w:space="0" w:color="auto"/>
              <w:bottom w:val="single" w:sz="4" w:space="0" w:color="auto"/>
              <w:right w:val="single" w:sz="4" w:space="0" w:color="auto"/>
            </w:tcBorders>
            <w:noWrap/>
            <w:vAlign w:val="center"/>
            <w:hideMark/>
          </w:tcPr>
          <w:p w14:paraId="51050241" w14:textId="7A9D50ED" w:rsidR="0070126B" w:rsidRPr="00D67307" w:rsidRDefault="007014F2" w:rsidP="00B23CB2">
            <w:pPr>
              <w:rPr>
                <w:rFonts w:ascii="Arial" w:eastAsia="Times New Roman" w:hAnsi="Arial" w:cs="Arial"/>
                <w:sz w:val="20"/>
                <w:szCs w:val="20"/>
              </w:rPr>
            </w:pPr>
            <w:r w:rsidRPr="00D67307">
              <w:rPr>
                <w:rFonts w:ascii="Arial" w:eastAsia="Times New Roman" w:hAnsi="Arial" w:cs="Arial"/>
                <w:sz w:val="20"/>
                <w:szCs w:val="20"/>
              </w:rPr>
              <w:t>Radiation then IR</w:t>
            </w:r>
          </w:p>
        </w:tc>
      </w:tr>
      <w:tr w:rsidR="0070126B" w:rsidRPr="00D67307" w14:paraId="1A7DCFAC"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1A875C6B" w14:textId="55A611C8" w:rsidR="0070126B" w:rsidRPr="00D67307" w:rsidRDefault="0070126B" w:rsidP="00B23CB2">
            <w:pPr>
              <w:rPr>
                <w:rFonts w:ascii="Arial" w:eastAsia="Times New Roman" w:hAnsi="Arial" w:cs="Arial"/>
                <w:color w:val="FF0000"/>
                <w:sz w:val="20"/>
                <w:szCs w:val="20"/>
              </w:rPr>
            </w:pPr>
            <w:r w:rsidRPr="00D67307">
              <w:rPr>
                <w:rFonts w:ascii="Arial" w:eastAsia="Times New Roman" w:hAnsi="Arial" w:cs="Arial"/>
                <w:color w:val="FF0000"/>
                <w:sz w:val="20"/>
                <w:szCs w:val="20"/>
              </w:rPr>
              <w:lastRenderedPageBreak/>
              <w:t>Pat-11</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10097038"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67</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5522C1D3"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31729F4F"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40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2E34227B"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211BA1A0" w14:textId="77777777"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791.0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3C1441E7" w14:textId="31F5144C" w:rsidR="0070126B" w:rsidRPr="00D67307" w:rsidRDefault="0070126B" w:rsidP="00B23CB2">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278E55C9" w14:textId="00369D5F" w:rsidR="0070126B" w:rsidRPr="00D67307" w:rsidRDefault="007C2FC8" w:rsidP="00B23CB2">
            <w:pPr>
              <w:rPr>
                <w:rFonts w:ascii="Arial" w:eastAsia="Times New Roman" w:hAnsi="Arial" w:cs="Arial"/>
                <w:sz w:val="20"/>
                <w:szCs w:val="20"/>
              </w:rPr>
            </w:pPr>
            <w:r w:rsidRPr="00D67307">
              <w:rPr>
                <w:rFonts w:ascii="Arial" w:eastAsia="Times New Roman" w:hAnsi="Arial" w:cs="Arial"/>
                <w:sz w:val="20"/>
                <w:szCs w:val="20"/>
              </w:rPr>
              <w:t>Bortezomib + R-</w:t>
            </w:r>
            <w:proofErr w:type="spellStart"/>
            <w:r w:rsidRPr="00D67307">
              <w:rPr>
                <w:rFonts w:ascii="Arial" w:eastAsia="Times New Roman" w:hAnsi="Arial" w:cs="Arial"/>
                <w:sz w:val="20"/>
                <w:szCs w:val="20"/>
              </w:rPr>
              <w:t>hyperCVAD</w:t>
            </w:r>
            <w:proofErr w:type="spellEnd"/>
            <w:r w:rsidRPr="00D67307">
              <w:rPr>
                <w:rFonts w:ascii="Arial" w:eastAsia="Times New Roman" w:hAnsi="Arial" w:cs="Arial"/>
                <w:sz w:val="20"/>
                <w:szCs w:val="20"/>
              </w:rPr>
              <w:t xml:space="preserve"> then Ibrutinib then anti CD19 CART-T infusion</w:t>
            </w:r>
            <w:r w:rsidRPr="00D67307" w:rsidDel="00E178CF">
              <w:rPr>
                <w:rFonts w:ascii="Arial" w:eastAsia="Times New Roman" w:hAnsi="Arial" w:cs="Arial"/>
                <w:sz w:val="20"/>
                <w:szCs w:val="20"/>
              </w:rPr>
              <w:t xml:space="preserve"> </w:t>
            </w:r>
          </w:p>
        </w:tc>
      </w:tr>
      <w:tr w:rsidR="007C2FC8" w:rsidRPr="00D67307" w14:paraId="69BF7C3D"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6794B02E" w14:textId="5F05002B"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Pat-12</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4910AA6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59</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1F65F9BA"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262A12EA"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079BB472"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7B66313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894.0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A7BB10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017467D1" w14:textId="11E6E31B"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w:t>
            </w:r>
            <w:proofErr w:type="spellStart"/>
            <w:r w:rsidRPr="00D67307">
              <w:rPr>
                <w:rFonts w:ascii="Arial" w:eastAsia="Times New Roman" w:hAnsi="Arial" w:cs="Arial"/>
                <w:sz w:val="20"/>
                <w:szCs w:val="20"/>
              </w:rPr>
              <w:t>hyperCVAD</w:t>
            </w:r>
            <w:proofErr w:type="spellEnd"/>
            <w:r w:rsidRPr="00D67307">
              <w:rPr>
                <w:rFonts w:ascii="Arial" w:eastAsia="Times New Roman" w:hAnsi="Arial" w:cs="Arial"/>
                <w:sz w:val="20"/>
                <w:szCs w:val="20"/>
              </w:rPr>
              <w:t xml:space="preserve"> × 4; R-EPOCH × 4; R × 4; Bortezomib × 4; R-Lenalidomide; R-Bendamustine × 1; </w:t>
            </w:r>
            <w:proofErr w:type="spellStart"/>
            <w:r w:rsidRPr="00D67307">
              <w:rPr>
                <w:rFonts w:ascii="Arial" w:eastAsia="Times New Roman" w:hAnsi="Arial" w:cs="Arial"/>
                <w:sz w:val="20"/>
                <w:szCs w:val="20"/>
              </w:rPr>
              <w:t>Temsirolimus</w:t>
            </w:r>
            <w:proofErr w:type="spellEnd"/>
            <w:r w:rsidRPr="00D67307">
              <w:rPr>
                <w:rFonts w:ascii="Arial" w:eastAsia="Times New Roman" w:hAnsi="Arial" w:cs="Arial"/>
                <w:sz w:val="20"/>
                <w:szCs w:val="20"/>
              </w:rPr>
              <w:t xml:space="preserve">; Methotrexate and cytarabine × </w:t>
            </w:r>
            <w:proofErr w:type="gramStart"/>
            <w:r w:rsidRPr="00D67307">
              <w:rPr>
                <w:rFonts w:ascii="Arial" w:eastAsia="Times New Roman" w:hAnsi="Arial" w:cs="Arial"/>
                <w:sz w:val="20"/>
                <w:szCs w:val="20"/>
              </w:rPr>
              <w:t>1,bortezomib</w:t>
            </w:r>
            <w:proofErr w:type="gramEnd"/>
            <w:r w:rsidRPr="00D67307">
              <w:rPr>
                <w:rFonts w:ascii="Arial" w:eastAsia="Times New Roman" w:hAnsi="Arial" w:cs="Arial"/>
                <w:sz w:val="20"/>
                <w:szCs w:val="20"/>
              </w:rPr>
              <w:t xml:space="preserve"> then ibrutinib discontinued due to bleeding in pituitary and started carfilzomib</w:t>
            </w:r>
          </w:p>
        </w:tc>
      </w:tr>
      <w:tr w:rsidR="007C2FC8" w:rsidRPr="00D67307" w14:paraId="2845280D"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20E1CA8" w14:textId="5DE45BA5"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Pat-13</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0EDDE2C1"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76</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150C1E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422BB92C" w14:textId="7DE5BA7B"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NA</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74D79EE"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124B5FD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536.0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70A7FC9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5D873D3D" w14:textId="61A34006"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w:t>
            </w:r>
            <w:proofErr w:type="spellStart"/>
            <w:r w:rsidRPr="00D67307">
              <w:rPr>
                <w:rFonts w:ascii="Arial" w:eastAsia="Times New Roman" w:hAnsi="Arial" w:cs="Arial"/>
                <w:sz w:val="20"/>
                <w:szCs w:val="20"/>
              </w:rPr>
              <w:t>hyperCVAD</w:t>
            </w:r>
            <w:proofErr w:type="spellEnd"/>
            <w:r w:rsidRPr="00D67307">
              <w:rPr>
                <w:rFonts w:ascii="Arial" w:eastAsia="Times New Roman" w:hAnsi="Arial" w:cs="Arial"/>
                <w:sz w:val="20"/>
                <w:szCs w:val="20"/>
              </w:rPr>
              <w:t xml:space="preserve"> × 6; R-bortezomib and </w:t>
            </w:r>
            <w:proofErr w:type="spellStart"/>
            <w:r w:rsidRPr="00D67307">
              <w:rPr>
                <w:rFonts w:ascii="Arial" w:eastAsia="Times New Roman" w:hAnsi="Arial" w:cs="Arial"/>
                <w:sz w:val="20"/>
                <w:szCs w:val="20"/>
              </w:rPr>
              <w:t>cyclophosphomide</w:t>
            </w:r>
            <w:proofErr w:type="spellEnd"/>
            <w:r w:rsidRPr="00D67307">
              <w:rPr>
                <w:rFonts w:ascii="Arial" w:eastAsia="Times New Roman" w:hAnsi="Arial" w:cs="Arial"/>
                <w:sz w:val="20"/>
                <w:szCs w:val="20"/>
              </w:rPr>
              <w:t xml:space="preserve"> × 6, IR, discontinued ibrutinib due to bleeding</w:t>
            </w:r>
            <w:r w:rsidRPr="00D67307" w:rsidDel="00E178CF">
              <w:rPr>
                <w:rFonts w:ascii="Arial" w:eastAsia="Times New Roman" w:hAnsi="Arial" w:cs="Arial"/>
                <w:sz w:val="20"/>
                <w:szCs w:val="20"/>
              </w:rPr>
              <w:t xml:space="preserve"> </w:t>
            </w:r>
          </w:p>
        </w:tc>
      </w:tr>
      <w:tr w:rsidR="007C2FC8" w:rsidRPr="00D67307" w14:paraId="5989DDEF"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001E3ADE" w14:textId="1C9CA39B"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Pat-14</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67C49FF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48</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D38A44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0103662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D65739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5810FDEA" w14:textId="58EC9E3B"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NA</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EE9D679"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1C5A916E" w14:textId="4EDC0F61"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 xml:space="preserve">R-HCVAD then bortezomib then BR then Radiation then </w:t>
            </w:r>
            <w:proofErr w:type="spellStart"/>
            <w:r w:rsidRPr="00D67307">
              <w:rPr>
                <w:rFonts w:ascii="Arial" w:eastAsia="Times New Roman" w:hAnsi="Arial" w:cs="Arial"/>
                <w:sz w:val="20"/>
                <w:szCs w:val="20"/>
              </w:rPr>
              <w:t>len</w:t>
            </w:r>
            <w:proofErr w:type="spellEnd"/>
            <w:r w:rsidRPr="00D67307">
              <w:rPr>
                <w:rFonts w:ascii="Arial" w:eastAsia="Times New Roman" w:hAnsi="Arial" w:cs="Arial"/>
                <w:sz w:val="20"/>
                <w:szCs w:val="20"/>
              </w:rPr>
              <w:t>-rituximab then IR then SCT then PD</w:t>
            </w:r>
            <w:r w:rsidRPr="00D67307" w:rsidDel="00740F10">
              <w:rPr>
                <w:rFonts w:ascii="Arial" w:eastAsia="Times New Roman" w:hAnsi="Arial" w:cs="Arial"/>
                <w:sz w:val="20"/>
                <w:szCs w:val="20"/>
              </w:rPr>
              <w:t xml:space="preserve"> </w:t>
            </w:r>
          </w:p>
        </w:tc>
      </w:tr>
      <w:tr w:rsidR="007C2FC8" w:rsidRPr="00D67307" w14:paraId="093A778B" w14:textId="77777777" w:rsidTr="00CF54E7">
        <w:trPr>
          <w:trHeight w:val="250"/>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191403C7" w14:textId="403D42E8"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Pat-15</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6BFC82E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67</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5136723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30C89EE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4381025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47436360" w14:textId="7DF51C92" w:rsidR="007C2FC8" w:rsidRPr="00D67307" w:rsidRDefault="007C2FC8" w:rsidP="007C2FC8">
            <w:pPr>
              <w:rPr>
                <w:rFonts w:ascii="Arial" w:eastAsia="Times New Roman" w:hAnsi="Arial" w:cs="Arial"/>
                <w:sz w:val="20"/>
                <w:szCs w:val="20"/>
              </w:rPr>
            </w:pP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7F48344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2E6F91D5" w14:textId="17B20D63"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Bortezomib-R-HCVAD then IR then secondary AML</w:t>
            </w:r>
          </w:p>
        </w:tc>
      </w:tr>
      <w:tr w:rsidR="007C2FC8" w:rsidRPr="00D67307" w14:paraId="32D67936"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2308B6D6" w14:textId="093C90B5"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Pat-16</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42C5613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292EFAA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0A53C98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5FD70FC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5884FB3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2057.0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00A74AFA" w14:textId="34CF9BA5"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26555624" w14:textId="24B85D6B"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R-HCVAD × 6; Bortezomib × 4, IR continued</w:t>
            </w:r>
          </w:p>
        </w:tc>
      </w:tr>
      <w:tr w:rsidR="007C2FC8" w:rsidRPr="00D67307" w14:paraId="7A010FE5"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68F4CB71" w14:textId="73881BBC"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Pat-17</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4D7B09D3"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69</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0434BB53"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76030031"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95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5674492E" w14:textId="4FE969AE"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Soft Tissue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46284EF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176.0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369363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6843542C" w14:textId="4FE48C2A"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R-HCVAD × 2; Rituximab × 8; Len-rituximab; Bortezomib × 4 then IR with subsequent PD</w:t>
            </w:r>
          </w:p>
        </w:tc>
      </w:tr>
      <w:tr w:rsidR="007C2FC8" w:rsidRPr="00D67307" w14:paraId="0EC8DEDA"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15CBC452" w14:textId="479CED0A"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Pat-18</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1ECC114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67</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15BF3E3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4C275A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90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766CB5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5D94740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127.0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2333B75D" w14:textId="4F5DB72B"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45B6BEF7" w14:textId="0DE20D3D"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w:t>
            </w:r>
            <w:proofErr w:type="spellStart"/>
            <w:r w:rsidRPr="00D67307">
              <w:rPr>
                <w:rFonts w:ascii="Arial" w:eastAsia="Times New Roman" w:hAnsi="Arial" w:cs="Arial"/>
                <w:sz w:val="20"/>
                <w:szCs w:val="20"/>
              </w:rPr>
              <w:t>hyperCVAD</w:t>
            </w:r>
            <w:proofErr w:type="spellEnd"/>
            <w:r w:rsidRPr="00D67307">
              <w:rPr>
                <w:rFonts w:ascii="Arial" w:eastAsia="Times New Roman" w:hAnsi="Arial" w:cs="Arial"/>
                <w:sz w:val="20"/>
                <w:szCs w:val="20"/>
              </w:rPr>
              <w:t xml:space="preserve"> with methotrexate and cytarabine plus bortezomib × 7; Bortezomib × 1 then single agent ibrutinib</w:t>
            </w:r>
          </w:p>
        </w:tc>
      </w:tr>
      <w:tr w:rsidR="007C2FC8" w:rsidRPr="00D67307" w14:paraId="6BBC369E"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4B1A11DC" w14:textId="6A3E6848"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Pat-19</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02876411"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72</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1F1697C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40C9583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5475494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328A4CC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2004.0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7EAFD8B6" w14:textId="0DEF2503"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63DB363A" w14:textId="342298CE"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 xml:space="preserve">R-CHOP × </w:t>
            </w:r>
            <w:proofErr w:type="gramStart"/>
            <w:r w:rsidRPr="00D67307">
              <w:rPr>
                <w:rFonts w:ascii="Arial" w:eastAsia="Times New Roman" w:hAnsi="Arial" w:cs="Arial"/>
                <w:sz w:val="20"/>
                <w:szCs w:val="20"/>
              </w:rPr>
              <w:t>6;  Rituximab</w:t>
            </w:r>
            <w:proofErr w:type="gramEnd"/>
            <w:r w:rsidRPr="00D67307">
              <w:rPr>
                <w:rFonts w:ascii="Arial" w:eastAsia="Times New Roman" w:hAnsi="Arial" w:cs="Arial"/>
                <w:sz w:val="20"/>
                <w:szCs w:val="20"/>
              </w:rPr>
              <w:t xml:space="preserve"> × 8 then IR later discontinued due to atrial fibrillation then </w:t>
            </w:r>
            <w:proofErr w:type="spellStart"/>
            <w:r w:rsidRPr="00D67307">
              <w:rPr>
                <w:rFonts w:ascii="Arial" w:eastAsia="Times New Roman" w:hAnsi="Arial" w:cs="Arial"/>
                <w:sz w:val="20"/>
                <w:szCs w:val="20"/>
              </w:rPr>
              <w:t>len-rituxumab</w:t>
            </w:r>
            <w:proofErr w:type="spellEnd"/>
          </w:p>
        </w:tc>
      </w:tr>
      <w:tr w:rsidR="007C2FC8" w:rsidRPr="00D67307" w14:paraId="6F0375AE"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2E884CA7" w14:textId="77336F37"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Pat-20</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045D14D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66</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01F66A82"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560B93E"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46DB6CBE"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6AE77E8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2047.0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4DEDE226" w14:textId="2C282584"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217A61B7" w14:textId="2E4CE0CB"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R-CHOP × 4 then IR then discontinued with infections then CART therapy</w:t>
            </w:r>
          </w:p>
        </w:tc>
      </w:tr>
      <w:tr w:rsidR="007C2FC8" w:rsidRPr="00D67307" w14:paraId="659C247E"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2C689FF" w14:textId="0B3E81C0"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Pat-21</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415B98F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70</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208EF1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5BC8FC4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66EA13F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3D0C52F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414.0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CD82AC5" w14:textId="7BAACB2D"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556A2F0F" w14:textId="565889EF"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w:t>
            </w:r>
            <w:proofErr w:type="spellStart"/>
            <w:r w:rsidRPr="00D67307">
              <w:rPr>
                <w:rFonts w:ascii="Arial" w:eastAsia="Times New Roman" w:hAnsi="Arial" w:cs="Arial"/>
                <w:sz w:val="20"/>
                <w:szCs w:val="20"/>
              </w:rPr>
              <w:t>hyperCVAD</w:t>
            </w:r>
            <w:proofErr w:type="spellEnd"/>
            <w:r w:rsidRPr="00D67307">
              <w:rPr>
                <w:rFonts w:ascii="Arial" w:eastAsia="Times New Roman" w:hAnsi="Arial" w:cs="Arial"/>
                <w:sz w:val="20"/>
                <w:szCs w:val="20"/>
              </w:rPr>
              <w:t xml:space="preserve"> with methotrexate and cytarabine × 6, bortezomib then splenectomy then IR then carfilzomib, </w:t>
            </w:r>
            <w:proofErr w:type="spellStart"/>
            <w:r w:rsidRPr="00D67307">
              <w:rPr>
                <w:rFonts w:ascii="Arial" w:eastAsia="Times New Roman" w:hAnsi="Arial" w:cs="Arial"/>
                <w:sz w:val="20"/>
                <w:szCs w:val="20"/>
              </w:rPr>
              <w:t>len</w:t>
            </w:r>
            <w:proofErr w:type="spellEnd"/>
            <w:r w:rsidRPr="00D67307">
              <w:rPr>
                <w:rFonts w:ascii="Arial" w:eastAsia="Times New Roman" w:hAnsi="Arial" w:cs="Arial"/>
                <w:sz w:val="20"/>
                <w:szCs w:val="20"/>
              </w:rPr>
              <w:t xml:space="preserve"> rituximab</w:t>
            </w:r>
          </w:p>
        </w:tc>
      </w:tr>
      <w:tr w:rsidR="007C2FC8" w:rsidRPr="00D67307" w14:paraId="045343A1"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3230F201" w14:textId="78046476"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Pat-22</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1A381F52"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59</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6164B4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5052CF5D" w14:textId="3F560A65" w:rsidR="007C2FC8" w:rsidRPr="00D67307" w:rsidRDefault="007C2FC8" w:rsidP="007C2FC8">
            <w:pPr>
              <w:rPr>
                <w:rFonts w:ascii="Arial" w:eastAsia="Times New Roman" w:hAnsi="Arial" w:cs="Arial"/>
                <w:sz w:val="20"/>
                <w:szCs w:val="20"/>
              </w:rPr>
            </w:pP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3B28A9C"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437C3759"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1807.0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0F641F69"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4FFEFD96" w14:textId="1DB08CE3"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 xml:space="preserve">R-CHOP × 6; R-HCVAD alternating with R-methotrexate and </w:t>
            </w:r>
            <w:proofErr w:type="spellStart"/>
            <w:r w:rsidRPr="00D67307">
              <w:rPr>
                <w:rFonts w:ascii="Arial" w:eastAsia="Times New Roman" w:hAnsi="Arial" w:cs="Arial"/>
                <w:sz w:val="20"/>
                <w:szCs w:val="20"/>
              </w:rPr>
              <w:t>cytarabline</w:t>
            </w:r>
            <w:proofErr w:type="spellEnd"/>
            <w:r w:rsidRPr="00D67307">
              <w:rPr>
                <w:rFonts w:ascii="Arial" w:eastAsia="Times New Roman" w:hAnsi="Arial" w:cs="Arial"/>
                <w:sz w:val="20"/>
                <w:szCs w:val="20"/>
              </w:rPr>
              <w:t xml:space="preserve"> × 1; Rituximab x </w:t>
            </w:r>
            <w:proofErr w:type="gramStart"/>
            <w:r w:rsidRPr="00D67307">
              <w:rPr>
                <w:rFonts w:ascii="Arial" w:eastAsia="Times New Roman" w:hAnsi="Arial" w:cs="Arial"/>
                <w:sz w:val="20"/>
                <w:szCs w:val="20"/>
              </w:rPr>
              <w:t>24;  BR</w:t>
            </w:r>
            <w:proofErr w:type="gramEnd"/>
            <w:r w:rsidRPr="00D67307">
              <w:rPr>
                <w:rFonts w:ascii="Arial" w:eastAsia="Times New Roman" w:hAnsi="Arial" w:cs="Arial"/>
                <w:sz w:val="20"/>
                <w:szCs w:val="20"/>
              </w:rPr>
              <w:t xml:space="preserve"> then IR</w:t>
            </w:r>
          </w:p>
        </w:tc>
      </w:tr>
      <w:tr w:rsidR="007C2FC8" w:rsidRPr="00D67307" w14:paraId="586A0E5A"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09562CB1" w14:textId="5B8EE82B"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Pat-23</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05CA1CD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79</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35C1228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4D562DE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0AB3D71E" w14:textId="1919ABFF"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Salivary gland</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3050565E"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1216.0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50E1E0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561756CE" w14:textId="493C6900"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R-CHOP with Bortezomib × 6; R-</w:t>
            </w:r>
            <w:proofErr w:type="gramStart"/>
            <w:r w:rsidRPr="00D67307">
              <w:rPr>
                <w:rFonts w:ascii="Arial" w:eastAsia="Times New Roman" w:hAnsi="Arial" w:cs="Arial"/>
                <w:sz w:val="20"/>
                <w:szCs w:val="20"/>
              </w:rPr>
              <w:t>bendamustine  ×</w:t>
            </w:r>
            <w:proofErr w:type="gramEnd"/>
            <w:r w:rsidRPr="00D67307">
              <w:rPr>
                <w:rFonts w:ascii="Arial" w:eastAsia="Times New Roman" w:hAnsi="Arial" w:cs="Arial"/>
                <w:sz w:val="20"/>
                <w:szCs w:val="20"/>
              </w:rPr>
              <w:t xml:space="preserve"> 4; Radiation therapy; Lenalidomide  × 2; R-cladribine and </w:t>
            </w:r>
            <w:proofErr w:type="spellStart"/>
            <w:r w:rsidRPr="00D67307">
              <w:rPr>
                <w:rFonts w:ascii="Arial" w:eastAsia="Times New Roman" w:hAnsi="Arial" w:cs="Arial"/>
                <w:sz w:val="20"/>
                <w:szCs w:val="20"/>
              </w:rPr>
              <w:t>cyclophosphomide</w:t>
            </w:r>
            <w:proofErr w:type="spellEnd"/>
            <w:r w:rsidRPr="00D67307">
              <w:rPr>
                <w:rFonts w:ascii="Arial" w:eastAsia="Times New Roman" w:hAnsi="Arial" w:cs="Arial"/>
                <w:sz w:val="20"/>
                <w:szCs w:val="20"/>
              </w:rPr>
              <w:t xml:space="preserve">  × 1 then IR withdrew consent due to side effects then bortezomib</w:t>
            </w:r>
          </w:p>
        </w:tc>
      </w:tr>
      <w:tr w:rsidR="007C2FC8" w:rsidRPr="00D67307" w14:paraId="1FDCF742"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7B573A6" w14:textId="146DA9A4"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lastRenderedPageBreak/>
              <w:t>Pat-24</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6BB35F7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88</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5B63302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073B17D2"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45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7F73794F" w14:textId="02558F4E"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Soft Tissue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0C01DA11"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905.0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3E1781B0" w14:textId="1BF757BB"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229A9899" w14:textId="470A1AE6"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R-CHOP x 6; BR x 4; R-bortezomib and dexamethasone x2; Bendamustine then IR and discontinued for adverse events then single agent ibrutinib</w:t>
            </w:r>
          </w:p>
        </w:tc>
      </w:tr>
      <w:tr w:rsidR="007C2FC8" w:rsidRPr="00D67307" w14:paraId="6A49B13A"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B065200" w14:textId="4E11C142"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Pat-25</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5C653F3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74</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3335E90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3639B48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90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4A096CCB" w14:textId="245E698E"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Soft Tissue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669F83D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89.0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1091654A" w14:textId="7FF47569"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2E1B599D" w14:textId="69B6CC15"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BR x 3 then IR then progressed then bortezomib, Len-rituximab then R-DHAP</w:t>
            </w:r>
          </w:p>
        </w:tc>
      </w:tr>
      <w:tr w:rsidR="007C2FC8" w:rsidRPr="00D67307" w14:paraId="21C81A34"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2820EC11" w14:textId="1A2FE229"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Pat-26</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5AA5A12E"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77</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1F25418C"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7350578C"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417D9DA7" w14:textId="6C22411F"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Soft Tissue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0B15D54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469.0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5FA3D4D1" w14:textId="781F550A"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3FB1C465" w14:textId="24C03C5D"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BR x6 (4/2016), Acalabrutinib-</w:t>
            </w:r>
            <w:proofErr w:type="spellStart"/>
            <w:r w:rsidRPr="00D67307">
              <w:rPr>
                <w:rFonts w:ascii="Arial" w:eastAsia="Times New Roman" w:hAnsi="Arial" w:cs="Arial"/>
                <w:sz w:val="20"/>
                <w:szCs w:val="20"/>
              </w:rPr>
              <w:t>obinutuzmab</w:t>
            </w:r>
            <w:proofErr w:type="spellEnd"/>
          </w:p>
        </w:tc>
      </w:tr>
      <w:tr w:rsidR="007C2FC8" w:rsidRPr="00D67307" w14:paraId="33A02DE1"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14A2099F" w14:textId="3A0408ED"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Pat-27</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64BAE0D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61</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051775E"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005D3F5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64E78A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5B7769F3"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26.0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0F28860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402702B8" w14:textId="7DD8837D"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IR then R-HCVAD then progression</w:t>
            </w:r>
          </w:p>
        </w:tc>
      </w:tr>
      <w:tr w:rsidR="007C2FC8" w:rsidRPr="00D67307" w14:paraId="28972A61"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230CCCD5" w14:textId="47D73142"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Pat-28</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25536009"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62</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0A980E2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06643362" w14:textId="50FCE094" w:rsidR="007C2FC8" w:rsidRPr="00D67307" w:rsidRDefault="007C2FC8" w:rsidP="007C2FC8">
            <w:pPr>
              <w:rPr>
                <w:rFonts w:ascii="Arial" w:eastAsia="Times New Roman" w:hAnsi="Arial" w:cs="Arial"/>
                <w:sz w:val="20"/>
                <w:szCs w:val="20"/>
              </w:rPr>
            </w:pP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07ACDC5" w14:textId="370C311D"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Soft Tissue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5234A634" w14:textId="132392D2"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 xml:space="preserve">2 </w:t>
            </w:r>
            <w:proofErr w:type="spellStart"/>
            <w:r w:rsidRPr="00D67307">
              <w:rPr>
                <w:rFonts w:ascii="Arial" w:eastAsia="Times New Roman" w:hAnsi="Arial" w:cs="Arial"/>
                <w:sz w:val="20"/>
                <w:szCs w:val="20"/>
              </w:rPr>
              <w:t>yrs</w:t>
            </w:r>
            <w:proofErr w:type="spellEnd"/>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48D8F61A" w14:textId="738E4F02"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 xml:space="preserve">Acquired Resistance </w:t>
            </w:r>
          </w:p>
        </w:tc>
        <w:tc>
          <w:tcPr>
            <w:tcW w:w="5020" w:type="dxa"/>
            <w:tcBorders>
              <w:top w:val="single" w:sz="4" w:space="0" w:color="auto"/>
              <w:left w:val="single" w:sz="4" w:space="0" w:color="auto"/>
              <w:bottom w:val="single" w:sz="4" w:space="0" w:color="auto"/>
              <w:right w:val="single" w:sz="4" w:space="0" w:color="auto"/>
            </w:tcBorders>
            <w:noWrap/>
            <w:vAlign w:val="center"/>
          </w:tcPr>
          <w:p w14:paraId="5644CDC7" w14:textId="76394C1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 xml:space="preserve">BR, Ibrutinib, </w:t>
            </w:r>
            <w:proofErr w:type="spellStart"/>
            <w:r w:rsidRPr="00D67307">
              <w:rPr>
                <w:rFonts w:ascii="Arial" w:eastAsia="Times New Roman" w:hAnsi="Arial" w:cs="Arial"/>
                <w:sz w:val="20"/>
                <w:szCs w:val="20"/>
              </w:rPr>
              <w:t>len</w:t>
            </w:r>
            <w:proofErr w:type="spellEnd"/>
            <w:r w:rsidRPr="00D67307">
              <w:rPr>
                <w:rFonts w:ascii="Arial" w:eastAsia="Times New Roman" w:hAnsi="Arial" w:cs="Arial"/>
                <w:sz w:val="20"/>
                <w:szCs w:val="20"/>
              </w:rPr>
              <w:t>, auto-SCT, venetoclax, R-</w:t>
            </w:r>
            <w:proofErr w:type="spellStart"/>
            <w:r w:rsidRPr="00D67307">
              <w:rPr>
                <w:rFonts w:ascii="Arial" w:eastAsia="Times New Roman" w:hAnsi="Arial" w:cs="Arial"/>
                <w:sz w:val="20"/>
                <w:szCs w:val="20"/>
              </w:rPr>
              <w:t>hypercytoxan</w:t>
            </w:r>
            <w:proofErr w:type="spellEnd"/>
            <w:r w:rsidRPr="00D67307">
              <w:rPr>
                <w:rFonts w:ascii="Arial" w:eastAsia="Times New Roman" w:hAnsi="Arial" w:cs="Arial"/>
                <w:sz w:val="20"/>
                <w:szCs w:val="20"/>
              </w:rPr>
              <w:t xml:space="preserve"> </w:t>
            </w:r>
            <w:proofErr w:type="spellStart"/>
            <w:r w:rsidRPr="00D67307">
              <w:rPr>
                <w:rFonts w:ascii="Arial" w:eastAsia="Times New Roman" w:hAnsi="Arial" w:cs="Arial"/>
                <w:sz w:val="20"/>
                <w:szCs w:val="20"/>
              </w:rPr>
              <w:t>dexa</w:t>
            </w:r>
            <w:proofErr w:type="spellEnd"/>
            <w:r w:rsidRPr="00D67307">
              <w:rPr>
                <w:rFonts w:ascii="Arial" w:eastAsia="Times New Roman" w:hAnsi="Arial" w:cs="Arial"/>
                <w:sz w:val="20"/>
                <w:szCs w:val="20"/>
              </w:rPr>
              <w:t>, acalabrutinib then held due to CMV retinitis</w:t>
            </w:r>
          </w:p>
        </w:tc>
      </w:tr>
      <w:tr w:rsidR="007C2FC8" w:rsidRPr="00D67307" w14:paraId="6E8F02C2"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4A4191F8" w14:textId="25897D8E"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Pat-29</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1BA098E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62</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B17D36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5C14FFD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85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00D4F4D" w14:textId="281200AC"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Soft Tissue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69A7F5FE"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540.0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6B94F3E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2126F4EE" w14:textId="350956BB"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Maxi-CHOP per Nordic regimen x6 (1/12/2017), auto-SCT-rituximab, Ibrutinib (11/2017), R-</w:t>
            </w:r>
            <w:proofErr w:type="spellStart"/>
            <w:r w:rsidRPr="00D67307">
              <w:rPr>
                <w:rFonts w:ascii="Arial" w:eastAsia="Times New Roman" w:hAnsi="Arial" w:cs="Arial"/>
                <w:sz w:val="20"/>
                <w:szCs w:val="20"/>
              </w:rPr>
              <w:t>hyperCVAD</w:t>
            </w:r>
            <w:proofErr w:type="spellEnd"/>
            <w:r w:rsidRPr="00D67307">
              <w:rPr>
                <w:rFonts w:ascii="Arial" w:eastAsia="Times New Roman" w:hAnsi="Arial" w:cs="Arial"/>
                <w:sz w:val="20"/>
                <w:szCs w:val="20"/>
              </w:rPr>
              <w:t xml:space="preserve"> (11/20/2017), DR2iVe- </w:t>
            </w:r>
            <w:proofErr w:type="spellStart"/>
            <w:r w:rsidRPr="00D67307">
              <w:rPr>
                <w:rFonts w:ascii="Arial" w:eastAsia="Times New Roman" w:hAnsi="Arial" w:cs="Arial"/>
                <w:sz w:val="20"/>
                <w:szCs w:val="20"/>
              </w:rPr>
              <w:t>Velcade</w:t>
            </w:r>
            <w:proofErr w:type="spellEnd"/>
            <w:r w:rsidRPr="00D67307">
              <w:rPr>
                <w:rFonts w:ascii="Arial" w:eastAsia="Times New Roman" w:hAnsi="Arial" w:cs="Arial"/>
                <w:sz w:val="20"/>
                <w:szCs w:val="20"/>
              </w:rPr>
              <w:t xml:space="preserve"> + Rituxan + Revlimid + Dexamethasone (12/13/2017), then anti-CD19 CART then later secondary AML</w:t>
            </w:r>
          </w:p>
        </w:tc>
      </w:tr>
      <w:tr w:rsidR="007C2FC8" w:rsidRPr="00D67307" w14:paraId="2FF69E45"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F69C46F" w14:textId="26A27C7D"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Pat-30</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0C449A43"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68</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3EDEA1F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7DF7EE8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90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5CFEFD2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3D434C1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20.0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59C9DBCD" w14:textId="7D7F3DBA"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5DA221C6" w14:textId="42511EE6" w:rsidR="007C2FC8" w:rsidRPr="00D67307" w:rsidRDefault="007C2FC8" w:rsidP="007C2FC8">
            <w:pPr>
              <w:rPr>
                <w:rFonts w:ascii="Arial" w:eastAsia="Times New Roman" w:hAnsi="Arial" w:cs="Arial"/>
                <w:sz w:val="20"/>
                <w:szCs w:val="20"/>
              </w:rPr>
            </w:pPr>
            <w:proofErr w:type="spellStart"/>
            <w:r w:rsidRPr="00D67307">
              <w:rPr>
                <w:rFonts w:ascii="Arial" w:eastAsia="Times New Roman" w:hAnsi="Arial" w:cs="Arial"/>
                <w:sz w:val="20"/>
                <w:szCs w:val="20"/>
              </w:rPr>
              <w:t>Vorinostat</w:t>
            </w:r>
            <w:proofErr w:type="spellEnd"/>
            <w:r w:rsidRPr="00D67307">
              <w:rPr>
                <w:rFonts w:ascii="Arial" w:eastAsia="Times New Roman" w:hAnsi="Arial" w:cs="Arial"/>
                <w:sz w:val="20"/>
                <w:szCs w:val="20"/>
              </w:rPr>
              <w:t xml:space="preserve"> cladribine rituximab then bortezomib-rituximab, BR, acalabrutinib then progression, ibrutinib then progression then bortezomib-rituximab--</w:t>
            </w:r>
            <w:proofErr w:type="spellStart"/>
            <w:r w:rsidRPr="00D67307">
              <w:rPr>
                <w:rFonts w:ascii="Arial" w:eastAsia="Times New Roman" w:hAnsi="Arial" w:cs="Arial"/>
                <w:sz w:val="20"/>
                <w:szCs w:val="20"/>
              </w:rPr>
              <w:t>len-dexa</w:t>
            </w:r>
            <w:proofErr w:type="spellEnd"/>
            <w:r w:rsidRPr="00D67307">
              <w:rPr>
                <w:rFonts w:ascii="Arial" w:eastAsia="Times New Roman" w:hAnsi="Arial" w:cs="Arial"/>
                <w:sz w:val="20"/>
                <w:szCs w:val="20"/>
              </w:rPr>
              <w:t>, venetoclax</w:t>
            </w:r>
          </w:p>
        </w:tc>
      </w:tr>
      <w:tr w:rsidR="007C2FC8" w:rsidRPr="00D67307" w14:paraId="67E5D7DD"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232281C7" w14:textId="428EA153"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Pat-31</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7E1E7BEA"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284C00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9C8E99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10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2521D603"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1E1C002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317.0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333E30C2" w14:textId="09D8E1BF"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2480450D" w14:textId="3D1B24AA"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BR then acalabrutinib</w:t>
            </w:r>
          </w:p>
        </w:tc>
      </w:tr>
      <w:tr w:rsidR="007C2FC8" w:rsidRPr="00D67307" w14:paraId="0E32C9ED"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79738CF" w14:textId="74CFC5CA"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Pat-32</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73AD403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588459A9"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8709BB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3299BCCF" w14:textId="434BB9E6"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Tissue-gastric</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4EED2BB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227.0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7BB2CF23" w14:textId="25AABAD3"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395BB4C5" w14:textId="555A4FB2"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CHOP x8, R-hyper-CVAD x6, Bortezomib x2, Bortezomib-BR, IR, Bortezomib-Len-rituximab, Venetoclax, R-MINE</w:t>
            </w:r>
          </w:p>
        </w:tc>
      </w:tr>
      <w:tr w:rsidR="007C2FC8" w:rsidRPr="00D67307" w14:paraId="53DD1B66"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4D795334" w14:textId="61E3D203"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Pat-33</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1D4BF92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75</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06A1EAD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0CBB114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45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0C17FBD2"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0F24681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249.0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02BA8BDC" w14:textId="37D5A4CA"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5367E586" w14:textId="04B03383"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BR x6 (1/2015), maintenance Rituxan for 1 year, low-dose radiation, Ibrutinib and Venetoclax</w:t>
            </w:r>
          </w:p>
        </w:tc>
      </w:tr>
      <w:tr w:rsidR="007C2FC8" w:rsidRPr="00D67307" w14:paraId="2BFD24B1"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6470EA19" w14:textId="7BFCB233"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Pat-34</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07A56F48"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70AAE3BC"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6EFA78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40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530EA25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7376C1F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378.0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2DFB0854" w14:textId="6E2EB358"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1E5E8ABD" w14:textId="76B4E5E1"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BR then Ibrutinib x6, continued maintenance Ibrutinib then Len-rituximab</w:t>
            </w:r>
          </w:p>
        </w:tc>
      </w:tr>
      <w:tr w:rsidR="007C2FC8" w:rsidRPr="00D67307" w14:paraId="0F5B8165"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29755E56" w14:textId="284D4B0F"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Pat-35</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289DCBB6"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54</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489CDC8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44C632D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25D1F7E6" w14:textId="14E3D8E9"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Bone-rib</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031FFBEA"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314.0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7D1003D1" w14:textId="70F4E0BD"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4B97887A" w14:textId="040512FA"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R-CHOP alternating R-DHAP x6 followed by BEAM with auto-SCT, Acalabrutinib then progressed then Radiation with Len-rituximab</w:t>
            </w:r>
          </w:p>
        </w:tc>
      </w:tr>
      <w:tr w:rsidR="007C2FC8" w:rsidRPr="00D67307" w14:paraId="1F2CACAE"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447FC7B3" w14:textId="38455418"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Pat-36</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08B544D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2D1F4DF1"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24FDDBD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22EEC95A"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3DAF35FF"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9.0</w:t>
            </w:r>
          </w:p>
        </w:tc>
        <w:tc>
          <w:tcPr>
            <w:tcW w:w="2417" w:type="dxa"/>
            <w:tcBorders>
              <w:top w:val="single" w:sz="4" w:space="0" w:color="auto"/>
              <w:left w:val="single" w:sz="4" w:space="0" w:color="auto"/>
              <w:bottom w:val="single" w:sz="4" w:space="0" w:color="auto"/>
              <w:right w:val="single" w:sz="4" w:space="0" w:color="auto"/>
            </w:tcBorders>
            <w:noWrap/>
            <w:vAlign w:val="center"/>
            <w:hideMark/>
          </w:tcPr>
          <w:p w14:paraId="05B7493D" w14:textId="68F61AB5"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NA</w:t>
            </w:r>
          </w:p>
        </w:tc>
        <w:tc>
          <w:tcPr>
            <w:tcW w:w="5020" w:type="dxa"/>
            <w:tcBorders>
              <w:top w:val="single" w:sz="4" w:space="0" w:color="auto"/>
              <w:left w:val="single" w:sz="4" w:space="0" w:color="auto"/>
              <w:bottom w:val="single" w:sz="4" w:space="0" w:color="auto"/>
              <w:right w:val="single" w:sz="4" w:space="0" w:color="auto"/>
            </w:tcBorders>
            <w:noWrap/>
            <w:vAlign w:val="center"/>
          </w:tcPr>
          <w:p w14:paraId="73AF17B0" w14:textId="51B5BA5D"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Treated outside with acalabrutinib</w:t>
            </w:r>
          </w:p>
        </w:tc>
      </w:tr>
      <w:tr w:rsidR="007C2FC8" w:rsidRPr="00D67307" w14:paraId="3BFC5D65"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0FE95EDD" w14:textId="56B7E7CC"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lastRenderedPageBreak/>
              <w:t>Pat-37</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61D4E32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70</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3F1A36D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BB6A561"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0AF0096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35A46E9C"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331.0</w:t>
            </w:r>
          </w:p>
        </w:tc>
        <w:tc>
          <w:tcPr>
            <w:tcW w:w="2417" w:type="dxa"/>
            <w:tcBorders>
              <w:top w:val="single" w:sz="4" w:space="0" w:color="auto"/>
              <w:left w:val="single" w:sz="4" w:space="0" w:color="auto"/>
              <w:bottom w:val="single" w:sz="4" w:space="0" w:color="auto"/>
              <w:right w:val="single" w:sz="4" w:space="0" w:color="auto"/>
            </w:tcBorders>
            <w:noWrap/>
            <w:vAlign w:val="center"/>
          </w:tcPr>
          <w:p w14:paraId="00341C22" w14:textId="2D83D864"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1C8BD879" w14:textId="0896B9B1"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BR x6 (9/2014), acalabrutinib, IR, R-Hypercyclophosphamide-dexax3, Radiation, Bortezomib-</w:t>
            </w:r>
            <w:proofErr w:type="spellStart"/>
            <w:r w:rsidRPr="00D67307">
              <w:rPr>
                <w:rFonts w:ascii="Arial" w:eastAsia="Times New Roman" w:hAnsi="Arial" w:cs="Arial"/>
                <w:sz w:val="20"/>
                <w:szCs w:val="20"/>
              </w:rPr>
              <w:t>len</w:t>
            </w:r>
            <w:proofErr w:type="spellEnd"/>
            <w:r w:rsidRPr="00D67307">
              <w:rPr>
                <w:rFonts w:ascii="Arial" w:eastAsia="Times New Roman" w:hAnsi="Arial" w:cs="Arial"/>
                <w:sz w:val="20"/>
                <w:szCs w:val="20"/>
              </w:rPr>
              <w:t>-rituximab</w:t>
            </w:r>
          </w:p>
        </w:tc>
      </w:tr>
      <w:tr w:rsidR="007C2FC8" w:rsidRPr="00D67307" w14:paraId="6AFACB42"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5B97B173" w14:textId="68445719"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Pat-38</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3C54D3D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58</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1D4FA910"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14158902"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35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3D7C7D5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6BE1500A"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223.0</w:t>
            </w:r>
          </w:p>
        </w:tc>
        <w:tc>
          <w:tcPr>
            <w:tcW w:w="2417" w:type="dxa"/>
            <w:tcBorders>
              <w:top w:val="single" w:sz="4" w:space="0" w:color="auto"/>
              <w:left w:val="single" w:sz="4" w:space="0" w:color="auto"/>
              <w:bottom w:val="single" w:sz="4" w:space="0" w:color="auto"/>
              <w:right w:val="single" w:sz="4" w:space="0" w:color="auto"/>
            </w:tcBorders>
            <w:noWrap/>
            <w:vAlign w:val="center"/>
          </w:tcPr>
          <w:p w14:paraId="3DC87CE1" w14:textId="5CB23131"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6D97934C" w14:textId="195E8183"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Bortezomib-R-HCVAD, IR then discontinued due to side effects</w:t>
            </w:r>
          </w:p>
        </w:tc>
      </w:tr>
      <w:tr w:rsidR="007C2FC8" w:rsidRPr="00D67307" w14:paraId="62B26DAC"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32549E89" w14:textId="20CE39B1"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Pat-39</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7A2D3093"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32AD71C3"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42F2112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EC8A3B4" w14:textId="5002313F"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Soft Tissue</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123D02AA"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238.0</w:t>
            </w:r>
          </w:p>
        </w:tc>
        <w:tc>
          <w:tcPr>
            <w:tcW w:w="2417" w:type="dxa"/>
            <w:tcBorders>
              <w:top w:val="single" w:sz="4" w:space="0" w:color="auto"/>
              <w:left w:val="single" w:sz="4" w:space="0" w:color="auto"/>
              <w:bottom w:val="single" w:sz="4" w:space="0" w:color="auto"/>
              <w:right w:val="single" w:sz="4" w:space="0" w:color="auto"/>
            </w:tcBorders>
            <w:noWrap/>
            <w:vAlign w:val="center"/>
          </w:tcPr>
          <w:p w14:paraId="499BF82B" w14:textId="0BA91E6E"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Acquired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46E1E246" w14:textId="599B39A2"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IR-R-HCVAD then progressed later acalabrutinib-</w:t>
            </w:r>
            <w:proofErr w:type="spellStart"/>
            <w:r w:rsidRPr="00D67307">
              <w:rPr>
                <w:rFonts w:ascii="Arial" w:eastAsia="Times New Roman" w:hAnsi="Arial" w:cs="Arial"/>
                <w:sz w:val="20"/>
                <w:szCs w:val="20"/>
              </w:rPr>
              <w:t>obinutuzumab</w:t>
            </w:r>
            <w:proofErr w:type="spellEnd"/>
          </w:p>
        </w:tc>
      </w:tr>
      <w:tr w:rsidR="007C2FC8" w:rsidRPr="00D67307" w14:paraId="5B69A9A8"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2263BF1" w14:textId="22880C73"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Pat-40</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24BD5C4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73</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0F8970C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M</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26B82E21"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431604B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3EBF3BC5"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889.0</w:t>
            </w:r>
          </w:p>
        </w:tc>
        <w:tc>
          <w:tcPr>
            <w:tcW w:w="2417" w:type="dxa"/>
            <w:tcBorders>
              <w:top w:val="single" w:sz="4" w:space="0" w:color="auto"/>
              <w:left w:val="single" w:sz="4" w:space="0" w:color="auto"/>
              <w:bottom w:val="single" w:sz="4" w:space="0" w:color="auto"/>
              <w:right w:val="single" w:sz="4" w:space="0" w:color="auto"/>
            </w:tcBorders>
            <w:noWrap/>
            <w:vAlign w:val="center"/>
          </w:tcPr>
          <w:p w14:paraId="4964BEE5" w14:textId="3E3A8853"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Sensitive</w:t>
            </w:r>
          </w:p>
        </w:tc>
        <w:tc>
          <w:tcPr>
            <w:tcW w:w="5020" w:type="dxa"/>
            <w:tcBorders>
              <w:top w:val="single" w:sz="4" w:space="0" w:color="auto"/>
              <w:left w:val="single" w:sz="4" w:space="0" w:color="auto"/>
              <w:bottom w:val="single" w:sz="4" w:space="0" w:color="auto"/>
              <w:right w:val="single" w:sz="4" w:space="0" w:color="auto"/>
            </w:tcBorders>
            <w:noWrap/>
            <w:vAlign w:val="center"/>
          </w:tcPr>
          <w:p w14:paraId="3F05C52A" w14:textId="32FEDAC9"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IR</w:t>
            </w:r>
          </w:p>
        </w:tc>
      </w:tr>
      <w:tr w:rsidR="007C2FC8" w:rsidRPr="00EB22C5" w14:paraId="03064994" w14:textId="77777777" w:rsidTr="00CF54E7">
        <w:trPr>
          <w:trHeight w:val="302"/>
          <w:jc w:val="center"/>
        </w:trPr>
        <w:tc>
          <w:tcPr>
            <w:tcW w:w="881" w:type="dxa"/>
            <w:tcBorders>
              <w:top w:val="single" w:sz="4" w:space="0" w:color="auto"/>
              <w:left w:val="single" w:sz="4" w:space="0" w:color="auto"/>
              <w:bottom w:val="single" w:sz="4" w:space="0" w:color="auto"/>
              <w:right w:val="single" w:sz="4" w:space="0" w:color="auto"/>
            </w:tcBorders>
            <w:noWrap/>
            <w:vAlign w:val="center"/>
            <w:hideMark/>
          </w:tcPr>
          <w:p w14:paraId="7F9E8438" w14:textId="585266C0" w:rsidR="007C2FC8" w:rsidRPr="00D67307" w:rsidRDefault="007C2FC8" w:rsidP="007C2FC8">
            <w:pPr>
              <w:rPr>
                <w:rFonts w:ascii="Arial" w:eastAsia="Times New Roman" w:hAnsi="Arial" w:cs="Arial"/>
                <w:color w:val="FF0000"/>
                <w:sz w:val="20"/>
                <w:szCs w:val="20"/>
              </w:rPr>
            </w:pPr>
            <w:r w:rsidRPr="00D67307">
              <w:rPr>
                <w:rFonts w:ascii="Arial" w:eastAsia="Times New Roman" w:hAnsi="Arial" w:cs="Arial"/>
                <w:color w:val="FF0000"/>
                <w:sz w:val="20"/>
                <w:szCs w:val="20"/>
              </w:rPr>
              <w:t>Pat-41</w:t>
            </w:r>
          </w:p>
        </w:tc>
        <w:tc>
          <w:tcPr>
            <w:tcW w:w="1176" w:type="dxa"/>
            <w:tcBorders>
              <w:top w:val="single" w:sz="4" w:space="0" w:color="auto"/>
              <w:left w:val="single" w:sz="4" w:space="0" w:color="auto"/>
              <w:bottom w:val="single" w:sz="4" w:space="0" w:color="auto"/>
              <w:right w:val="single" w:sz="4" w:space="0" w:color="auto"/>
            </w:tcBorders>
            <w:noWrap/>
            <w:vAlign w:val="center"/>
            <w:hideMark/>
          </w:tcPr>
          <w:p w14:paraId="39EBCD71"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91</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26354124"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F</w:t>
            </w:r>
          </w:p>
        </w:tc>
        <w:tc>
          <w:tcPr>
            <w:tcW w:w="891" w:type="dxa"/>
            <w:tcBorders>
              <w:top w:val="single" w:sz="4" w:space="0" w:color="auto"/>
              <w:left w:val="single" w:sz="4" w:space="0" w:color="auto"/>
              <w:bottom w:val="single" w:sz="4" w:space="0" w:color="auto"/>
              <w:right w:val="single" w:sz="4" w:space="0" w:color="auto"/>
            </w:tcBorders>
            <w:noWrap/>
            <w:vAlign w:val="center"/>
            <w:hideMark/>
          </w:tcPr>
          <w:p w14:paraId="6410DACB"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0EA28307"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LN</w:t>
            </w:r>
          </w:p>
        </w:tc>
        <w:tc>
          <w:tcPr>
            <w:tcW w:w="903" w:type="dxa"/>
            <w:tcBorders>
              <w:top w:val="single" w:sz="4" w:space="0" w:color="auto"/>
              <w:left w:val="single" w:sz="4" w:space="0" w:color="auto"/>
              <w:bottom w:val="single" w:sz="4" w:space="0" w:color="auto"/>
              <w:right w:val="single" w:sz="4" w:space="0" w:color="auto"/>
            </w:tcBorders>
            <w:noWrap/>
            <w:vAlign w:val="center"/>
            <w:hideMark/>
          </w:tcPr>
          <w:p w14:paraId="0B896C4D" w14:textId="77777777"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570.0</w:t>
            </w:r>
          </w:p>
        </w:tc>
        <w:tc>
          <w:tcPr>
            <w:tcW w:w="2417" w:type="dxa"/>
            <w:tcBorders>
              <w:top w:val="single" w:sz="4" w:space="0" w:color="auto"/>
              <w:left w:val="single" w:sz="4" w:space="0" w:color="auto"/>
              <w:bottom w:val="single" w:sz="4" w:space="0" w:color="auto"/>
              <w:right w:val="single" w:sz="4" w:space="0" w:color="auto"/>
            </w:tcBorders>
            <w:noWrap/>
            <w:vAlign w:val="center"/>
          </w:tcPr>
          <w:p w14:paraId="320C87C3" w14:textId="2BF52883" w:rsidR="007C2FC8" w:rsidRPr="00D67307" w:rsidRDefault="007C2FC8" w:rsidP="007C2FC8">
            <w:pPr>
              <w:rPr>
                <w:rFonts w:ascii="Arial" w:eastAsia="Times New Roman" w:hAnsi="Arial" w:cs="Arial"/>
                <w:sz w:val="20"/>
                <w:szCs w:val="20"/>
              </w:rPr>
            </w:pPr>
            <w:r w:rsidRPr="00D67307">
              <w:rPr>
                <w:rFonts w:ascii="Arial" w:eastAsia="Times New Roman" w:hAnsi="Arial" w:cs="Arial"/>
                <w:sz w:val="20"/>
                <w:szCs w:val="20"/>
              </w:rPr>
              <w:t>Primary Resistance</w:t>
            </w:r>
          </w:p>
        </w:tc>
        <w:tc>
          <w:tcPr>
            <w:tcW w:w="5020" w:type="dxa"/>
            <w:tcBorders>
              <w:top w:val="single" w:sz="4" w:space="0" w:color="auto"/>
              <w:left w:val="single" w:sz="4" w:space="0" w:color="auto"/>
              <w:bottom w:val="single" w:sz="4" w:space="0" w:color="auto"/>
              <w:right w:val="single" w:sz="4" w:space="0" w:color="auto"/>
            </w:tcBorders>
            <w:noWrap/>
            <w:vAlign w:val="center"/>
          </w:tcPr>
          <w:p w14:paraId="799FD048" w14:textId="761C302D" w:rsidR="007C2FC8" w:rsidRPr="00373D55" w:rsidRDefault="007C2FC8" w:rsidP="007C2FC8">
            <w:pPr>
              <w:rPr>
                <w:rFonts w:ascii="Arial" w:eastAsia="Times New Roman" w:hAnsi="Arial" w:cs="Arial"/>
                <w:sz w:val="20"/>
                <w:szCs w:val="20"/>
              </w:rPr>
            </w:pPr>
            <w:r w:rsidRPr="00D67307">
              <w:rPr>
                <w:rFonts w:ascii="Arial" w:eastAsia="Times New Roman" w:hAnsi="Arial" w:cs="Arial"/>
                <w:sz w:val="20"/>
                <w:szCs w:val="20"/>
              </w:rPr>
              <w:t>Single agent rituximab, Ibrutinib-</w:t>
            </w:r>
            <w:proofErr w:type="spellStart"/>
            <w:r w:rsidRPr="00D67307">
              <w:rPr>
                <w:rFonts w:ascii="Arial" w:eastAsia="Times New Roman" w:hAnsi="Arial" w:cs="Arial"/>
                <w:sz w:val="20"/>
                <w:szCs w:val="20"/>
              </w:rPr>
              <w:t>obinutuzumab</w:t>
            </w:r>
            <w:proofErr w:type="spellEnd"/>
            <w:r w:rsidRPr="00D67307">
              <w:rPr>
                <w:rFonts w:ascii="Arial" w:eastAsia="Times New Roman" w:hAnsi="Arial" w:cs="Arial"/>
                <w:sz w:val="20"/>
                <w:szCs w:val="20"/>
              </w:rPr>
              <w:t>, BR</w:t>
            </w:r>
          </w:p>
        </w:tc>
      </w:tr>
    </w:tbl>
    <w:p w14:paraId="68F486C6" w14:textId="10F3F566" w:rsidR="002852EF" w:rsidRPr="009A1741" w:rsidRDefault="004E2BAC" w:rsidP="009A1741">
      <w:pPr>
        <w:rPr>
          <w:rFonts w:ascii="Arial" w:hAnsi="Arial" w:cs="Arial"/>
          <w:sz w:val="24"/>
          <w:szCs w:val="24"/>
        </w:rPr>
      </w:pPr>
      <w:r>
        <w:rPr>
          <w:rFonts w:ascii="Arial" w:hAnsi="Arial" w:cs="Arial"/>
          <w:b/>
          <w:sz w:val="24"/>
          <w:szCs w:val="24"/>
        </w:rPr>
        <w:br w:type="page"/>
      </w:r>
    </w:p>
    <w:p w14:paraId="342E8841" w14:textId="782DF4F6" w:rsidR="002852EF" w:rsidRPr="009A1741" w:rsidRDefault="002852EF" w:rsidP="009A1741">
      <w:pPr>
        <w:rPr>
          <w:rFonts w:ascii="Arial" w:hAnsi="Arial" w:cs="Arial"/>
          <w:sz w:val="24"/>
          <w:szCs w:val="24"/>
        </w:rPr>
      </w:pPr>
    </w:p>
    <w:p w14:paraId="161B68EC" w14:textId="3494DA69" w:rsidR="002852EF" w:rsidRPr="009A1741" w:rsidRDefault="002852EF" w:rsidP="009A1741">
      <w:pPr>
        <w:rPr>
          <w:rFonts w:ascii="Arial" w:hAnsi="Arial" w:cs="Arial"/>
          <w:sz w:val="24"/>
          <w:szCs w:val="24"/>
        </w:rPr>
      </w:pPr>
    </w:p>
    <w:p w14:paraId="4D8BBC38" w14:textId="04C09487" w:rsidR="002852EF" w:rsidRPr="009A1741" w:rsidRDefault="002852EF" w:rsidP="009A1741">
      <w:pPr>
        <w:rPr>
          <w:rFonts w:ascii="Arial" w:hAnsi="Arial" w:cs="Arial"/>
          <w:sz w:val="24"/>
          <w:szCs w:val="24"/>
        </w:rPr>
      </w:pPr>
    </w:p>
    <w:p w14:paraId="6B0EACE6" w14:textId="2D0BD3B0" w:rsidR="002852EF" w:rsidRPr="009A1741" w:rsidRDefault="002852EF" w:rsidP="009A1741">
      <w:pPr>
        <w:rPr>
          <w:rFonts w:ascii="Arial" w:hAnsi="Arial" w:cs="Arial"/>
          <w:sz w:val="24"/>
          <w:szCs w:val="24"/>
        </w:rPr>
      </w:pPr>
    </w:p>
    <w:p w14:paraId="39C4E293" w14:textId="513500DC" w:rsidR="002852EF" w:rsidRPr="009A1741" w:rsidRDefault="002852EF" w:rsidP="009A1741">
      <w:pPr>
        <w:rPr>
          <w:rFonts w:ascii="Arial" w:hAnsi="Arial" w:cs="Arial"/>
          <w:sz w:val="24"/>
          <w:szCs w:val="24"/>
        </w:rPr>
      </w:pPr>
    </w:p>
    <w:p w14:paraId="796EE17E" w14:textId="2DCD9C5B" w:rsidR="002852EF" w:rsidRPr="009A1741" w:rsidRDefault="002852EF" w:rsidP="009A1741">
      <w:pPr>
        <w:rPr>
          <w:rFonts w:ascii="Arial" w:hAnsi="Arial" w:cs="Arial"/>
          <w:sz w:val="24"/>
          <w:szCs w:val="24"/>
        </w:rPr>
      </w:pPr>
    </w:p>
    <w:p w14:paraId="43F41305" w14:textId="058A76FE" w:rsidR="002852EF" w:rsidRPr="009A1741" w:rsidRDefault="002852EF" w:rsidP="009A1741">
      <w:pPr>
        <w:rPr>
          <w:rFonts w:ascii="Arial" w:hAnsi="Arial" w:cs="Arial"/>
          <w:sz w:val="24"/>
          <w:szCs w:val="24"/>
        </w:rPr>
      </w:pPr>
    </w:p>
    <w:p w14:paraId="2C03AF63" w14:textId="246C3CE3" w:rsidR="002852EF" w:rsidRPr="009A1741" w:rsidRDefault="002852EF" w:rsidP="009A1741">
      <w:pPr>
        <w:rPr>
          <w:rFonts w:ascii="Arial" w:hAnsi="Arial" w:cs="Arial"/>
          <w:sz w:val="24"/>
          <w:szCs w:val="24"/>
        </w:rPr>
      </w:pPr>
    </w:p>
    <w:p w14:paraId="676894B9" w14:textId="321E6941" w:rsidR="002852EF" w:rsidRPr="009A1741" w:rsidRDefault="002852EF" w:rsidP="009A1741">
      <w:pPr>
        <w:rPr>
          <w:rFonts w:ascii="Arial" w:hAnsi="Arial" w:cs="Arial"/>
          <w:sz w:val="24"/>
          <w:szCs w:val="24"/>
        </w:rPr>
      </w:pPr>
    </w:p>
    <w:p w14:paraId="53B8B99B" w14:textId="70B544B9" w:rsidR="002852EF" w:rsidRPr="009A1741" w:rsidRDefault="002852EF" w:rsidP="009A1741">
      <w:pPr>
        <w:rPr>
          <w:rFonts w:ascii="Arial" w:hAnsi="Arial" w:cs="Arial"/>
          <w:sz w:val="24"/>
          <w:szCs w:val="24"/>
        </w:rPr>
      </w:pPr>
    </w:p>
    <w:p w14:paraId="751A701B" w14:textId="124BA23D" w:rsidR="002852EF" w:rsidRPr="009A1741" w:rsidRDefault="002852EF" w:rsidP="009A1741">
      <w:pPr>
        <w:rPr>
          <w:rFonts w:ascii="Arial" w:hAnsi="Arial" w:cs="Arial"/>
          <w:sz w:val="24"/>
          <w:szCs w:val="24"/>
        </w:rPr>
      </w:pPr>
    </w:p>
    <w:p w14:paraId="7A9BBD52" w14:textId="43BAF7B6" w:rsidR="002852EF" w:rsidRPr="009A1741" w:rsidRDefault="002852EF" w:rsidP="009A1741">
      <w:pPr>
        <w:rPr>
          <w:rFonts w:ascii="Arial" w:hAnsi="Arial" w:cs="Arial"/>
          <w:sz w:val="24"/>
          <w:szCs w:val="24"/>
        </w:rPr>
      </w:pPr>
    </w:p>
    <w:p w14:paraId="76BDE3F2" w14:textId="6DDEAB27" w:rsidR="002852EF" w:rsidRPr="009A1741" w:rsidRDefault="002852EF" w:rsidP="009A1741">
      <w:pPr>
        <w:rPr>
          <w:rFonts w:ascii="Arial" w:hAnsi="Arial" w:cs="Arial"/>
          <w:sz w:val="24"/>
          <w:szCs w:val="24"/>
        </w:rPr>
      </w:pPr>
    </w:p>
    <w:p w14:paraId="1258FB45" w14:textId="7AAC4288" w:rsidR="002852EF" w:rsidRPr="009A1741" w:rsidRDefault="002852EF" w:rsidP="009A1741">
      <w:pPr>
        <w:rPr>
          <w:rFonts w:ascii="Arial" w:hAnsi="Arial" w:cs="Arial"/>
          <w:sz w:val="24"/>
          <w:szCs w:val="24"/>
        </w:rPr>
      </w:pPr>
    </w:p>
    <w:p w14:paraId="3D814BA6" w14:textId="243FFD0B" w:rsidR="002852EF" w:rsidRPr="009A1741" w:rsidRDefault="002852EF" w:rsidP="009A1741">
      <w:pPr>
        <w:rPr>
          <w:rFonts w:ascii="Arial" w:hAnsi="Arial" w:cs="Arial"/>
          <w:sz w:val="24"/>
          <w:szCs w:val="24"/>
        </w:rPr>
      </w:pPr>
    </w:p>
    <w:p w14:paraId="45DB4B63" w14:textId="77777777" w:rsidR="002852EF" w:rsidRPr="009A1741" w:rsidRDefault="002852EF" w:rsidP="009A1741">
      <w:pPr>
        <w:rPr>
          <w:rFonts w:ascii="Arial" w:hAnsi="Arial" w:cs="Arial"/>
          <w:sz w:val="24"/>
          <w:szCs w:val="24"/>
        </w:rPr>
      </w:pPr>
    </w:p>
    <w:p w14:paraId="1EC1FA4E" w14:textId="77777777" w:rsidR="00722B1C" w:rsidRPr="00E55C27" w:rsidRDefault="00722B1C">
      <w:pPr>
        <w:rPr>
          <w:rFonts w:ascii="Arial" w:hAnsi="Arial" w:cs="Arial"/>
          <w:b/>
          <w:sz w:val="24"/>
          <w:szCs w:val="24"/>
        </w:rPr>
      </w:pPr>
      <w:r w:rsidRPr="00E55C27">
        <w:rPr>
          <w:rFonts w:ascii="Arial" w:hAnsi="Arial" w:cs="Arial"/>
          <w:b/>
          <w:sz w:val="24"/>
          <w:szCs w:val="24"/>
        </w:rPr>
        <w:br w:type="page"/>
      </w:r>
    </w:p>
    <w:p w14:paraId="7ED2B62F" w14:textId="77777777" w:rsidR="005068FF" w:rsidRPr="00E55C27" w:rsidRDefault="005068FF">
      <w:pPr>
        <w:rPr>
          <w:rFonts w:ascii="Arial" w:hAnsi="Arial" w:cs="Arial"/>
          <w:sz w:val="24"/>
          <w:szCs w:val="24"/>
        </w:rPr>
      </w:pPr>
    </w:p>
    <w:sectPr w:rsidR="005068FF" w:rsidRPr="00E55C27" w:rsidSect="00095AB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A4046F"/>
    <w:multiLevelType w:val="multilevel"/>
    <w:tmpl w:val="97B68B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50711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88B"/>
    <w:rsid w:val="00022300"/>
    <w:rsid w:val="0003605D"/>
    <w:rsid w:val="00095AB9"/>
    <w:rsid w:val="0009625E"/>
    <w:rsid w:val="000977B5"/>
    <w:rsid w:val="00097A77"/>
    <w:rsid w:val="000D164F"/>
    <w:rsid w:val="00101A3D"/>
    <w:rsid w:val="00103281"/>
    <w:rsid w:val="0013763A"/>
    <w:rsid w:val="001571BF"/>
    <w:rsid w:val="00161C49"/>
    <w:rsid w:val="00182E66"/>
    <w:rsid w:val="00183AFA"/>
    <w:rsid w:val="001A628F"/>
    <w:rsid w:val="001A6486"/>
    <w:rsid w:val="001B131B"/>
    <w:rsid w:val="001B5B57"/>
    <w:rsid w:val="001D3956"/>
    <w:rsid w:val="001D43F4"/>
    <w:rsid w:val="001F3C91"/>
    <w:rsid w:val="0020688B"/>
    <w:rsid w:val="0021747F"/>
    <w:rsid w:val="00243F0A"/>
    <w:rsid w:val="002471C6"/>
    <w:rsid w:val="00263E16"/>
    <w:rsid w:val="00266BF6"/>
    <w:rsid w:val="002760F5"/>
    <w:rsid w:val="00277387"/>
    <w:rsid w:val="002852EF"/>
    <w:rsid w:val="00296407"/>
    <w:rsid w:val="002E0F68"/>
    <w:rsid w:val="002F1AE7"/>
    <w:rsid w:val="002F2277"/>
    <w:rsid w:val="002F46FF"/>
    <w:rsid w:val="00312F1F"/>
    <w:rsid w:val="0031384F"/>
    <w:rsid w:val="00331291"/>
    <w:rsid w:val="00336200"/>
    <w:rsid w:val="0035126A"/>
    <w:rsid w:val="00373D55"/>
    <w:rsid w:val="00380B6C"/>
    <w:rsid w:val="0039292D"/>
    <w:rsid w:val="003A6783"/>
    <w:rsid w:val="003E27C5"/>
    <w:rsid w:val="00436980"/>
    <w:rsid w:val="00442AE3"/>
    <w:rsid w:val="00490736"/>
    <w:rsid w:val="004A11BB"/>
    <w:rsid w:val="004A7D79"/>
    <w:rsid w:val="004B6F05"/>
    <w:rsid w:val="004D0804"/>
    <w:rsid w:val="004E2BAC"/>
    <w:rsid w:val="004F60BA"/>
    <w:rsid w:val="005068FF"/>
    <w:rsid w:val="0050779F"/>
    <w:rsid w:val="00513F57"/>
    <w:rsid w:val="0053066C"/>
    <w:rsid w:val="00530AB7"/>
    <w:rsid w:val="005346F6"/>
    <w:rsid w:val="00545430"/>
    <w:rsid w:val="00560160"/>
    <w:rsid w:val="005731FB"/>
    <w:rsid w:val="00575D6B"/>
    <w:rsid w:val="005A79F3"/>
    <w:rsid w:val="005E25E6"/>
    <w:rsid w:val="005E36C3"/>
    <w:rsid w:val="005F0739"/>
    <w:rsid w:val="005F2017"/>
    <w:rsid w:val="00611317"/>
    <w:rsid w:val="0061240B"/>
    <w:rsid w:val="00624C54"/>
    <w:rsid w:val="006613C1"/>
    <w:rsid w:val="00685CA6"/>
    <w:rsid w:val="006864DE"/>
    <w:rsid w:val="00687041"/>
    <w:rsid w:val="006C5B53"/>
    <w:rsid w:val="006D68E5"/>
    <w:rsid w:val="006E377C"/>
    <w:rsid w:val="006F41A1"/>
    <w:rsid w:val="0070126B"/>
    <w:rsid w:val="007014F2"/>
    <w:rsid w:val="00722B1C"/>
    <w:rsid w:val="0072544C"/>
    <w:rsid w:val="00725A3A"/>
    <w:rsid w:val="00731009"/>
    <w:rsid w:val="00740F10"/>
    <w:rsid w:val="007A4802"/>
    <w:rsid w:val="007C2FC8"/>
    <w:rsid w:val="007F03DD"/>
    <w:rsid w:val="007F32B4"/>
    <w:rsid w:val="0080044A"/>
    <w:rsid w:val="008048F1"/>
    <w:rsid w:val="0081252A"/>
    <w:rsid w:val="00857A51"/>
    <w:rsid w:val="00865484"/>
    <w:rsid w:val="0087134A"/>
    <w:rsid w:val="008969DE"/>
    <w:rsid w:val="008D5DB8"/>
    <w:rsid w:val="008F52AC"/>
    <w:rsid w:val="0090095E"/>
    <w:rsid w:val="009138ED"/>
    <w:rsid w:val="0093381F"/>
    <w:rsid w:val="009A1741"/>
    <w:rsid w:val="009D616B"/>
    <w:rsid w:val="009E3013"/>
    <w:rsid w:val="00A001F1"/>
    <w:rsid w:val="00A24595"/>
    <w:rsid w:val="00A53E75"/>
    <w:rsid w:val="00A5754D"/>
    <w:rsid w:val="00A97E4A"/>
    <w:rsid w:val="00AA04C7"/>
    <w:rsid w:val="00AA7D40"/>
    <w:rsid w:val="00AC04FB"/>
    <w:rsid w:val="00B001F2"/>
    <w:rsid w:val="00B23CB2"/>
    <w:rsid w:val="00B36574"/>
    <w:rsid w:val="00B40E43"/>
    <w:rsid w:val="00BA2178"/>
    <w:rsid w:val="00BB4AA0"/>
    <w:rsid w:val="00BE373E"/>
    <w:rsid w:val="00C333AF"/>
    <w:rsid w:val="00C3670D"/>
    <w:rsid w:val="00C41CDB"/>
    <w:rsid w:val="00C432B6"/>
    <w:rsid w:val="00C65301"/>
    <w:rsid w:val="00C9065F"/>
    <w:rsid w:val="00CB1C63"/>
    <w:rsid w:val="00CB2827"/>
    <w:rsid w:val="00CD5038"/>
    <w:rsid w:val="00CD69A3"/>
    <w:rsid w:val="00CF54E7"/>
    <w:rsid w:val="00CF7CEF"/>
    <w:rsid w:val="00D5501A"/>
    <w:rsid w:val="00D62430"/>
    <w:rsid w:val="00D67307"/>
    <w:rsid w:val="00D7247E"/>
    <w:rsid w:val="00D87805"/>
    <w:rsid w:val="00D916F7"/>
    <w:rsid w:val="00DB2344"/>
    <w:rsid w:val="00DD496B"/>
    <w:rsid w:val="00DD64C5"/>
    <w:rsid w:val="00DE6C77"/>
    <w:rsid w:val="00E1660B"/>
    <w:rsid w:val="00E178CF"/>
    <w:rsid w:val="00E27957"/>
    <w:rsid w:val="00E37DA5"/>
    <w:rsid w:val="00E55C27"/>
    <w:rsid w:val="00E5731A"/>
    <w:rsid w:val="00E6729D"/>
    <w:rsid w:val="00E82F30"/>
    <w:rsid w:val="00E852E2"/>
    <w:rsid w:val="00E92996"/>
    <w:rsid w:val="00EB22C5"/>
    <w:rsid w:val="00EB3BBE"/>
    <w:rsid w:val="00ED1122"/>
    <w:rsid w:val="00F16B95"/>
    <w:rsid w:val="00F2514B"/>
    <w:rsid w:val="00F30800"/>
    <w:rsid w:val="00F3098C"/>
    <w:rsid w:val="00F31D51"/>
    <w:rsid w:val="00F37DE8"/>
    <w:rsid w:val="00F878C0"/>
    <w:rsid w:val="00F87991"/>
    <w:rsid w:val="00F87C98"/>
    <w:rsid w:val="00FA6FC0"/>
    <w:rsid w:val="00FC776F"/>
    <w:rsid w:val="00FE029A"/>
    <w:rsid w:val="00FF4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26716"/>
  <w15:chartTrackingRefBased/>
  <w15:docId w15:val="{6C3BC228-8D79-4D81-85E8-63DF20CBE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009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rsid w:val="008F52AC"/>
    <w:pPr>
      <w:keepNext/>
      <w:keepLines/>
      <w:spacing w:before="280" w:after="80"/>
      <w:outlineLvl w:val="2"/>
    </w:pPr>
    <w:rPr>
      <w:rFonts w:ascii="Calibri" w:eastAsia="Calibri" w:hAnsi="Calibri" w:cs="Calibri"/>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03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03DD"/>
    <w:rPr>
      <w:rFonts w:ascii="Segoe UI" w:hAnsi="Segoe UI" w:cs="Segoe UI"/>
      <w:sz w:val="18"/>
      <w:szCs w:val="18"/>
    </w:rPr>
  </w:style>
  <w:style w:type="table" w:styleId="ListTable1Light">
    <w:name w:val="List Table 1 Light"/>
    <w:basedOn w:val="TableNormal"/>
    <w:uiPriority w:val="46"/>
    <w:rsid w:val="005346F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rsid w:val="008F52AC"/>
    <w:rPr>
      <w:rFonts w:ascii="Calibri" w:eastAsia="Calibri" w:hAnsi="Calibri" w:cs="Calibri"/>
      <w:b/>
      <w:sz w:val="28"/>
      <w:szCs w:val="28"/>
    </w:rPr>
  </w:style>
  <w:style w:type="paragraph" w:customStyle="1" w:styleId="EndNoteBibliography">
    <w:name w:val="EndNote Bibliography"/>
    <w:basedOn w:val="Normal"/>
    <w:link w:val="EndNoteBibliographyChar"/>
    <w:rsid w:val="000977B5"/>
    <w:pPr>
      <w:spacing w:after="0" w:line="240" w:lineRule="auto"/>
    </w:pPr>
    <w:rPr>
      <w:rFonts w:ascii="Times New Roman" w:eastAsia="Times New Roman" w:hAnsi="Times New Roman" w:cs="Times New Roman"/>
      <w:noProof/>
      <w:sz w:val="24"/>
      <w:szCs w:val="24"/>
    </w:rPr>
  </w:style>
  <w:style w:type="character" w:customStyle="1" w:styleId="EndNoteBibliographyChar">
    <w:name w:val="EndNote Bibliography Char"/>
    <w:basedOn w:val="DefaultParagraphFont"/>
    <w:link w:val="EndNoteBibliography"/>
    <w:rsid w:val="000977B5"/>
    <w:rPr>
      <w:rFonts w:ascii="Times New Roman" w:eastAsia="Times New Roman" w:hAnsi="Times New Roman" w:cs="Times New Roman"/>
      <w:noProof/>
      <w:sz w:val="24"/>
      <w:szCs w:val="24"/>
    </w:rPr>
  </w:style>
  <w:style w:type="paragraph" w:styleId="PlainText">
    <w:name w:val="Plain Text"/>
    <w:basedOn w:val="Normal"/>
    <w:link w:val="PlainTextChar"/>
    <w:uiPriority w:val="99"/>
    <w:semiHidden/>
    <w:unhideWhenUsed/>
    <w:rsid w:val="00312F1F"/>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312F1F"/>
    <w:rPr>
      <w:rFonts w:ascii="Calibri" w:hAnsi="Calibri"/>
      <w:szCs w:val="21"/>
    </w:rPr>
  </w:style>
  <w:style w:type="paragraph" w:styleId="Revision">
    <w:name w:val="Revision"/>
    <w:hidden/>
    <w:uiPriority w:val="99"/>
    <w:semiHidden/>
    <w:rsid w:val="006E377C"/>
    <w:pPr>
      <w:spacing w:after="0" w:line="240" w:lineRule="auto"/>
    </w:pPr>
  </w:style>
  <w:style w:type="character" w:customStyle="1" w:styleId="Heading2Char">
    <w:name w:val="Heading 2 Char"/>
    <w:basedOn w:val="DefaultParagraphFont"/>
    <w:link w:val="Heading2"/>
    <w:uiPriority w:val="9"/>
    <w:semiHidden/>
    <w:rsid w:val="0090095E"/>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40E43"/>
    <w:rPr>
      <w:b/>
      <w:bCs/>
    </w:rPr>
  </w:style>
  <w:style w:type="character" w:customStyle="1" w:styleId="CommentSubjectChar">
    <w:name w:val="Comment Subject Char"/>
    <w:basedOn w:val="CommentTextChar"/>
    <w:link w:val="CommentSubject"/>
    <w:uiPriority w:val="99"/>
    <w:semiHidden/>
    <w:rsid w:val="00B40E43"/>
    <w:rPr>
      <w:b/>
      <w:bCs/>
      <w:sz w:val="20"/>
      <w:szCs w:val="20"/>
    </w:rPr>
  </w:style>
  <w:style w:type="paragraph" w:styleId="NormalWeb">
    <w:name w:val="Normal (Web)"/>
    <w:basedOn w:val="Normal"/>
    <w:uiPriority w:val="99"/>
    <w:semiHidden/>
    <w:unhideWhenUsed/>
    <w:rsid w:val="00B40E43"/>
    <w:pPr>
      <w:spacing w:before="100" w:beforeAutospacing="1" w:after="100" w:afterAutospacing="1"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481921">
      <w:bodyDiv w:val="1"/>
      <w:marLeft w:val="0"/>
      <w:marRight w:val="0"/>
      <w:marTop w:val="0"/>
      <w:marBottom w:val="0"/>
      <w:divBdr>
        <w:top w:val="none" w:sz="0" w:space="0" w:color="auto"/>
        <w:left w:val="none" w:sz="0" w:space="0" w:color="auto"/>
        <w:bottom w:val="none" w:sz="0" w:space="0" w:color="auto"/>
        <w:right w:val="none" w:sz="0" w:space="0" w:color="auto"/>
      </w:divBdr>
    </w:div>
    <w:div w:id="491411441">
      <w:bodyDiv w:val="1"/>
      <w:marLeft w:val="0"/>
      <w:marRight w:val="0"/>
      <w:marTop w:val="0"/>
      <w:marBottom w:val="0"/>
      <w:divBdr>
        <w:top w:val="none" w:sz="0" w:space="0" w:color="auto"/>
        <w:left w:val="none" w:sz="0" w:space="0" w:color="auto"/>
        <w:bottom w:val="none" w:sz="0" w:space="0" w:color="auto"/>
        <w:right w:val="none" w:sz="0" w:space="0" w:color="auto"/>
      </w:divBdr>
    </w:div>
    <w:div w:id="964195278">
      <w:bodyDiv w:val="1"/>
      <w:marLeft w:val="0"/>
      <w:marRight w:val="0"/>
      <w:marTop w:val="0"/>
      <w:marBottom w:val="0"/>
      <w:divBdr>
        <w:top w:val="none" w:sz="0" w:space="0" w:color="auto"/>
        <w:left w:val="none" w:sz="0" w:space="0" w:color="auto"/>
        <w:bottom w:val="none" w:sz="0" w:space="0" w:color="auto"/>
        <w:right w:val="none" w:sz="0" w:space="0" w:color="auto"/>
      </w:divBdr>
    </w:div>
    <w:div w:id="1036390543">
      <w:bodyDiv w:val="1"/>
      <w:marLeft w:val="0"/>
      <w:marRight w:val="0"/>
      <w:marTop w:val="0"/>
      <w:marBottom w:val="0"/>
      <w:divBdr>
        <w:top w:val="none" w:sz="0" w:space="0" w:color="auto"/>
        <w:left w:val="none" w:sz="0" w:space="0" w:color="auto"/>
        <w:bottom w:val="none" w:sz="0" w:space="0" w:color="auto"/>
        <w:right w:val="none" w:sz="0" w:space="0" w:color="auto"/>
      </w:divBdr>
    </w:div>
    <w:div w:id="1218274130">
      <w:bodyDiv w:val="1"/>
      <w:marLeft w:val="0"/>
      <w:marRight w:val="0"/>
      <w:marTop w:val="0"/>
      <w:marBottom w:val="0"/>
      <w:divBdr>
        <w:top w:val="none" w:sz="0" w:space="0" w:color="auto"/>
        <w:left w:val="none" w:sz="0" w:space="0" w:color="auto"/>
        <w:bottom w:val="none" w:sz="0" w:space="0" w:color="auto"/>
        <w:right w:val="none" w:sz="0" w:space="0" w:color="auto"/>
      </w:divBdr>
    </w:div>
    <w:div w:id="1431704618">
      <w:bodyDiv w:val="1"/>
      <w:marLeft w:val="0"/>
      <w:marRight w:val="0"/>
      <w:marTop w:val="0"/>
      <w:marBottom w:val="0"/>
      <w:divBdr>
        <w:top w:val="none" w:sz="0" w:space="0" w:color="auto"/>
        <w:left w:val="none" w:sz="0" w:space="0" w:color="auto"/>
        <w:bottom w:val="none" w:sz="0" w:space="0" w:color="auto"/>
        <w:right w:val="none" w:sz="0" w:space="0" w:color="auto"/>
      </w:divBdr>
    </w:div>
    <w:div w:id="1946375504">
      <w:bodyDiv w:val="1"/>
      <w:marLeft w:val="0"/>
      <w:marRight w:val="0"/>
      <w:marTop w:val="0"/>
      <w:marBottom w:val="0"/>
      <w:divBdr>
        <w:top w:val="none" w:sz="0" w:space="0" w:color="auto"/>
        <w:left w:val="none" w:sz="0" w:space="0" w:color="auto"/>
        <w:bottom w:val="none" w:sz="0" w:space="0" w:color="auto"/>
        <w:right w:val="none" w:sz="0" w:space="0" w:color="auto"/>
      </w:divBdr>
    </w:div>
    <w:div w:id="1979459292">
      <w:bodyDiv w:val="1"/>
      <w:marLeft w:val="0"/>
      <w:marRight w:val="0"/>
      <w:marTop w:val="0"/>
      <w:marBottom w:val="0"/>
      <w:divBdr>
        <w:top w:val="none" w:sz="0" w:space="0" w:color="auto"/>
        <w:left w:val="none" w:sz="0" w:space="0" w:color="auto"/>
        <w:bottom w:val="none" w:sz="0" w:space="0" w:color="auto"/>
        <w:right w:val="none" w:sz="0" w:space="0" w:color="auto"/>
      </w:divBdr>
    </w:div>
    <w:div w:id="211802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3683</Words>
  <Characters>20995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 D. Anderson Cancer Center</Company>
  <LinksUpToDate>false</LinksUpToDate>
  <CharactersWithSpaces>24629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Jain,Preetesh</dc:creator>
  <cp:keywords/>
  <dc:description/>
  <cp:lastModifiedBy>Jain,Preetesh</cp:lastModifiedBy>
  <cp:revision>3</cp:revision>
  <dcterms:created xsi:type="dcterms:W3CDTF">2023-09-08T03:30:00Z</dcterms:created>
  <dcterms:modified xsi:type="dcterms:W3CDTF">2023-09-08T03:31:00Z</dcterms:modified>
</cp:coreProperties>
</file>