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D3CD" w14:textId="11482CB3" w:rsidR="00B225D2" w:rsidRPr="00657B44" w:rsidRDefault="00657B44" w:rsidP="00657B44">
      <w:pPr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657B44">
        <w:rPr>
          <w:rFonts w:ascii="Times New Roman" w:hAnsi="Times New Roman" w:cs="Times New Roman"/>
          <w:b/>
          <w:bCs/>
          <w:sz w:val="24"/>
          <w:szCs w:val="28"/>
        </w:rPr>
        <w:t>Additional File 1</w:t>
      </w:r>
    </w:p>
    <w:p w14:paraId="696D801B" w14:textId="77777777" w:rsidR="00965833" w:rsidRPr="00520CC9" w:rsidRDefault="00965833" w:rsidP="009658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Comparison of certainty of evidence between </w:t>
      </w:r>
      <w:r w:rsidRPr="0092322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 w:hint="eastAsia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et benefit approach and the traditional </w:t>
      </w:r>
      <w:r w:rsidRPr="00E809EC">
        <w:rPr>
          <w:rFonts w:ascii="Times New Roman" w:hAnsi="Times New Roman" w:cs="Times New Roman"/>
          <w:sz w:val="24"/>
          <w:szCs w:val="24"/>
        </w:rPr>
        <w:t>Grading of Recommendations Assessment, Development, and Evaluation</w:t>
      </w:r>
      <w:r>
        <w:rPr>
          <w:rFonts w:ascii="Times New Roman" w:hAnsi="Times New Roman" w:cs="Times New Roman"/>
          <w:sz w:val="24"/>
          <w:szCs w:val="24"/>
        </w:rPr>
        <w:t xml:space="preserve"> (GRADE) method</w:t>
      </w:r>
      <w:r w:rsidRPr="00520CC9">
        <w:rPr>
          <w:rFonts w:ascii="Times New Roman" w:hAnsi="Times New Roman" w:cs="Times New Roman"/>
          <w:sz w:val="24"/>
          <w:szCs w:val="24"/>
        </w:rPr>
        <w:t xml:space="preserve"> using the </w:t>
      </w:r>
      <w:r>
        <w:rPr>
          <w:rFonts w:ascii="Times New Roman" w:hAnsi="Times New Roman" w:cs="Times New Roman"/>
          <w:sz w:val="24"/>
          <w:szCs w:val="24"/>
        </w:rPr>
        <w:t xml:space="preserve">data of </w:t>
      </w:r>
      <w:r w:rsidRPr="00520CC9">
        <w:rPr>
          <w:rFonts w:ascii="Times New Roman" w:hAnsi="Times New Roman" w:cs="Times New Roman"/>
          <w:sz w:val="24"/>
          <w:szCs w:val="24"/>
        </w:rPr>
        <w:t>Japanese Clinical Practice Guidelines for Management of Sepsis and Septic Shock 2020</w:t>
      </w:r>
    </w:p>
    <w:p w14:paraId="78EFD9E8" w14:textId="77777777" w:rsidR="00657B44" w:rsidRPr="00965833" w:rsidRDefault="00657B44" w:rsidP="00965833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2FA90C48" w14:textId="77777777" w:rsidR="001B67E0" w:rsidRPr="00520CC9" w:rsidRDefault="001B67E0" w:rsidP="0096583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20CC9">
        <w:rPr>
          <w:rFonts w:ascii="Times New Roman" w:hAnsi="Times New Roman" w:cs="Times New Roman"/>
          <w:b/>
          <w:bCs/>
          <w:sz w:val="24"/>
          <w:szCs w:val="24"/>
        </w:rPr>
        <w:t>Authors</w:t>
      </w:r>
    </w:p>
    <w:p w14:paraId="0348FD9A" w14:textId="77777777" w:rsidR="001B67E0" w:rsidRPr="0092322F" w:rsidRDefault="001B67E0" w:rsidP="0096583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2322F">
        <w:rPr>
          <w:rFonts w:ascii="Times New Roman" w:hAnsi="Times New Roman" w:cs="Times New Roman"/>
          <w:sz w:val="24"/>
          <w:szCs w:val="24"/>
        </w:rPr>
        <w:t>Takero</w:t>
      </w:r>
      <w:proofErr w:type="spellEnd"/>
      <w:r w:rsidRPr="009232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322F">
        <w:rPr>
          <w:rFonts w:ascii="Times New Roman" w:hAnsi="Times New Roman" w:cs="Times New Roman"/>
          <w:sz w:val="24"/>
          <w:szCs w:val="24"/>
        </w:rPr>
        <w:t>Terayama</w:t>
      </w:r>
      <w:proofErr w:type="spellEnd"/>
      <w:r w:rsidRPr="009232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322F">
        <w:rPr>
          <w:rFonts w:ascii="Times New Roman" w:hAnsi="Times New Roman" w:cs="Times New Roman"/>
          <w:sz w:val="24"/>
          <w:szCs w:val="24"/>
        </w:rPr>
        <w:t>Hiromu</w:t>
      </w:r>
      <w:proofErr w:type="spellEnd"/>
      <w:r w:rsidRPr="0092322F">
        <w:rPr>
          <w:rFonts w:ascii="Times New Roman" w:hAnsi="Times New Roman" w:cs="Times New Roman"/>
          <w:sz w:val="24"/>
          <w:szCs w:val="24"/>
        </w:rPr>
        <w:t xml:space="preserve"> Okano, </w:t>
      </w:r>
      <w:proofErr w:type="spellStart"/>
      <w:r w:rsidRPr="0092322F">
        <w:rPr>
          <w:rFonts w:ascii="Times New Roman" w:hAnsi="Times New Roman" w:cs="Times New Roman"/>
          <w:sz w:val="24"/>
          <w:szCs w:val="24"/>
        </w:rPr>
        <w:t>Sadatoshi</w:t>
      </w:r>
      <w:proofErr w:type="spellEnd"/>
      <w:r w:rsidRPr="0092322F">
        <w:rPr>
          <w:rFonts w:ascii="Times New Roman" w:hAnsi="Times New Roman" w:cs="Times New Roman"/>
          <w:sz w:val="24"/>
          <w:szCs w:val="24"/>
        </w:rPr>
        <w:t xml:space="preserve"> Kawakami, Kenichi Kano, Masaaki </w:t>
      </w:r>
      <w:proofErr w:type="spellStart"/>
      <w:r w:rsidRPr="0092322F">
        <w:rPr>
          <w:rFonts w:ascii="Times New Roman" w:hAnsi="Times New Roman" w:cs="Times New Roman"/>
          <w:sz w:val="24"/>
          <w:szCs w:val="24"/>
        </w:rPr>
        <w:t>Sakuraya</w:t>
      </w:r>
      <w:proofErr w:type="spellEnd"/>
      <w:r w:rsidRPr="0092322F">
        <w:rPr>
          <w:rFonts w:ascii="Times New Roman" w:hAnsi="Times New Roman" w:cs="Times New Roman"/>
          <w:sz w:val="24"/>
          <w:szCs w:val="24"/>
        </w:rPr>
        <w:t>, Yoshitaka Aoki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D5AA6">
        <w:rPr>
          <w:rFonts w:ascii="Times New Roman" w:hAnsi="Times New Roman" w:cs="Times New Roman"/>
          <w:sz w:val="24"/>
          <w:szCs w:val="24"/>
        </w:rPr>
        <w:t>Committee of the Japanese Clinical Practice Guidelines for the Management of Sepsis and Septic Shock 2024</w:t>
      </w:r>
    </w:p>
    <w:p w14:paraId="2235AF73" w14:textId="77777777" w:rsidR="001B67E0" w:rsidRPr="0092322F" w:rsidRDefault="001B67E0" w:rsidP="0096583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322F">
        <w:rPr>
          <w:rFonts w:ascii="Times New Roman" w:hAnsi="Times New Roman" w:cs="Times New Roman"/>
          <w:b/>
          <w:bCs/>
          <w:sz w:val="24"/>
          <w:szCs w:val="24"/>
        </w:rPr>
        <w:t>Affiliations</w:t>
      </w:r>
    </w:p>
    <w:p w14:paraId="00989298" w14:textId="77777777" w:rsidR="001B67E0" w:rsidRPr="0092322F" w:rsidRDefault="001B67E0" w:rsidP="00965833">
      <w:pPr>
        <w:rPr>
          <w:rFonts w:ascii="Times New Roman" w:hAnsi="Times New Roman" w:cs="Times New Roman"/>
          <w:sz w:val="24"/>
          <w:szCs w:val="24"/>
        </w:rPr>
      </w:pPr>
      <w:r w:rsidRPr="0092322F">
        <w:rPr>
          <w:rFonts w:ascii="Times New Roman" w:hAnsi="Times New Roman" w:cs="Times New Roman"/>
          <w:sz w:val="24"/>
          <w:szCs w:val="24"/>
        </w:rPr>
        <w:t xml:space="preserve">1. Department of Emergency, Self-Defense Forces Central Hospital, </w:t>
      </w:r>
      <w:proofErr w:type="spellStart"/>
      <w:r w:rsidRPr="0092322F">
        <w:rPr>
          <w:rFonts w:ascii="Times New Roman" w:hAnsi="Times New Roman" w:cs="Times New Roman"/>
          <w:sz w:val="24"/>
          <w:szCs w:val="24"/>
        </w:rPr>
        <w:t>Ikeziri</w:t>
      </w:r>
      <w:proofErr w:type="spellEnd"/>
      <w:r w:rsidRPr="0092322F">
        <w:rPr>
          <w:rFonts w:ascii="Times New Roman" w:hAnsi="Times New Roman" w:cs="Times New Roman"/>
          <w:sz w:val="24"/>
          <w:szCs w:val="24"/>
        </w:rPr>
        <w:t xml:space="preserve"> 1-2-24, Setagaya, Tokyo, Japan</w:t>
      </w:r>
    </w:p>
    <w:p w14:paraId="783C8418" w14:textId="77777777" w:rsidR="001B67E0" w:rsidRPr="0092322F" w:rsidRDefault="001B67E0" w:rsidP="00965833">
      <w:pPr>
        <w:rPr>
          <w:rFonts w:ascii="Times New Roman" w:hAnsi="Times New Roman" w:cs="Times New Roman"/>
          <w:sz w:val="24"/>
          <w:szCs w:val="24"/>
        </w:rPr>
      </w:pPr>
      <w:r w:rsidRPr="0092322F">
        <w:rPr>
          <w:rFonts w:ascii="Times New Roman" w:hAnsi="Times New Roman" w:cs="Times New Roman"/>
          <w:sz w:val="24"/>
          <w:szCs w:val="24"/>
        </w:rPr>
        <w:t xml:space="preserve">2. </w:t>
      </w:r>
      <w:r w:rsidRPr="0092322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Department of Critical Care Medicine, St. Luke's International Hospital, 9-1 Akashi-</w:t>
      </w:r>
      <w:proofErr w:type="spellStart"/>
      <w:r w:rsidRPr="0092322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cho</w:t>
      </w:r>
      <w:proofErr w:type="spellEnd"/>
      <w:r w:rsidRPr="0092322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Chuo-</w:t>
      </w:r>
      <w:proofErr w:type="spellStart"/>
      <w:r w:rsidRPr="0092322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ku</w:t>
      </w:r>
      <w:proofErr w:type="spellEnd"/>
      <w:r w:rsidRPr="0092322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Tokyo 104-8560, Japan</w:t>
      </w:r>
    </w:p>
    <w:p w14:paraId="44A4735F" w14:textId="77777777" w:rsidR="001B67E0" w:rsidRPr="0092322F" w:rsidRDefault="001B67E0" w:rsidP="00965833">
      <w:pPr>
        <w:rPr>
          <w:rFonts w:ascii="Times New Roman" w:hAnsi="Times New Roman" w:cs="Times New Roman"/>
          <w:sz w:val="24"/>
          <w:szCs w:val="24"/>
        </w:rPr>
      </w:pPr>
      <w:r w:rsidRPr="0092322F">
        <w:rPr>
          <w:rFonts w:ascii="Times New Roman" w:hAnsi="Times New Roman" w:cs="Times New Roman"/>
          <w:sz w:val="24"/>
          <w:szCs w:val="24"/>
        </w:rPr>
        <w:t>3. Department of Anesthesiology, Chiba University Graduate School of Medicine, 1-8-1</w:t>
      </w:r>
    </w:p>
    <w:p w14:paraId="73EAE30B" w14:textId="77777777" w:rsidR="001B67E0" w:rsidRPr="0092322F" w:rsidRDefault="001B67E0" w:rsidP="0096583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2322F">
        <w:rPr>
          <w:rFonts w:ascii="Times New Roman" w:hAnsi="Times New Roman" w:cs="Times New Roman"/>
          <w:sz w:val="24"/>
          <w:szCs w:val="24"/>
        </w:rPr>
        <w:t>Inohana</w:t>
      </w:r>
      <w:proofErr w:type="spellEnd"/>
      <w:r w:rsidRPr="0092322F">
        <w:rPr>
          <w:rFonts w:ascii="Times New Roman" w:hAnsi="Times New Roman" w:cs="Times New Roman"/>
          <w:sz w:val="24"/>
          <w:szCs w:val="24"/>
        </w:rPr>
        <w:t>, Chuo-Ku, Chiba, 260-8670, Japan</w:t>
      </w:r>
    </w:p>
    <w:p w14:paraId="15150D8B" w14:textId="77777777" w:rsidR="001B67E0" w:rsidRPr="0092322F" w:rsidRDefault="001B67E0" w:rsidP="00965833">
      <w:pPr>
        <w:rPr>
          <w:rFonts w:ascii="Times New Roman" w:hAnsi="Times New Roman" w:cs="Times New Roman"/>
          <w:sz w:val="24"/>
          <w:szCs w:val="24"/>
        </w:rPr>
      </w:pPr>
      <w:r w:rsidRPr="0092322F">
        <w:rPr>
          <w:rFonts w:ascii="Times New Roman" w:hAnsi="Times New Roman" w:cs="Times New Roman"/>
          <w:sz w:val="24"/>
          <w:szCs w:val="24"/>
        </w:rPr>
        <w:t xml:space="preserve">4. Department of Emergency Medicine, Fukui Prefectural Hospital, </w:t>
      </w:r>
      <w:proofErr w:type="spellStart"/>
      <w:r w:rsidRPr="0092322F">
        <w:rPr>
          <w:rFonts w:ascii="Times New Roman" w:hAnsi="Times New Roman" w:cs="Times New Roman"/>
          <w:sz w:val="24"/>
          <w:szCs w:val="24"/>
        </w:rPr>
        <w:t>Yotsui</w:t>
      </w:r>
      <w:proofErr w:type="spellEnd"/>
      <w:r w:rsidRPr="0092322F">
        <w:rPr>
          <w:rFonts w:ascii="Times New Roman" w:hAnsi="Times New Roman" w:cs="Times New Roman"/>
          <w:sz w:val="24"/>
          <w:szCs w:val="24"/>
        </w:rPr>
        <w:t xml:space="preserve"> 2-8-1, Fukui city, Fukui, 910-8526, Japan</w:t>
      </w:r>
    </w:p>
    <w:p w14:paraId="63B53A60" w14:textId="77777777" w:rsidR="001B67E0" w:rsidRPr="0092322F" w:rsidRDefault="001B67E0" w:rsidP="00965833">
      <w:pPr>
        <w:rPr>
          <w:rFonts w:ascii="Times New Roman" w:hAnsi="Times New Roman" w:cs="Times New Roman"/>
          <w:sz w:val="24"/>
          <w:szCs w:val="24"/>
        </w:rPr>
      </w:pPr>
      <w:r w:rsidRPr="0092322F">
        <w:rPr>
          <w:rFonts w:ascii="Times New Roman" w:hAnsi="Times New Roman" w:cs="Times New Roman"/>
          <w:sz w:val="24"/>
          <w:szCs w:val="24"/>
        </w:rPr>
        <w:t xml:space="preserve">5. Department of Emergency and Intensive Care Medicine, JA Hiroshima General Hospital, </w:t>
      </w:r>
      <w:proofErr w:type="spellStart"/>
      <w:r w:rsidRPr="0092322F">
        <w:rPr>
          <w:rFonts w:ascii="Times New Roman" w:hAnsi="Times New Roman" w:cs="Times New Roman"/>
          <w:sz w:val="24"/>
          <w:szCs w:val="24"/>
        </w:rPr>
        <w:t>Jigozen</w:t>
      </w:r>
      <w:proofErr w:type="spellEnd"/>
      <w:r w:rsidRPr="0092322F">
        <w:rPr>
          <w:rFonts w:ascii="Times New Roman" w:hAnsi="Times New Roman" w:cs="Times New Roman"/>
          <w:sz w:val="24"/>
          <w:szCs w:val="24"/>
        </w:rPr>
        <w:t xml:space="preserve"> 1-3-3, </w:t>
      </w:r>
      <w:proofErr w:type="spellStart"/>
      <w:r w:rsidRPr="0092322F">
        <w:rPr>
          <w:rFonts w:ascii="Times New Roman" w:hAnsi="Times New Roman" w:cs="Times New Roman"/>
          <w:sz w:val="24"/>
          <w:szCs w:val="24"/>
        </w:rPr>
        <w:t>Hatsukaichi</w:t>
      </w:r>
      <w:proofErr w:type="spellEnd"/>
      <w:r w:rsidRPr="0092322F">
        <w:rPr>
          <w:rFonts w:ascii="Times New Roman" w:hAnsi="Times New Roman" w:cs="Times New Roman"/>
          <w:sz w:val="24"/>
          <w:szCs w:val="24"/>
        </w:rPr>
        <w:t>, Hiroshima, 738-8503, Japan</w:t>
      </w:r>
    </w:p>
    <w:p w14:paraId="3A8D6D83" w14:textId="77777777" w:rsidR="001B67E0" w:rsidRPr="0092322F" w:rsidRDefault="001B67E0" w:rsidP="00965833">
      <w:pPr>
        <w:rPr>
          <w:rFonts w:ascii="Times New Roman" w:hAnsi="Times New Roman" w:cs="Times New Roman"/>
          <w:sz w:val="24"/>
          <w:szCs w:val="24"/>
        </w:rPr>
      </w:pPr>
      <w:r w:rsidRPr="0092322F">
        <w:rPr>
          <w:rFonts w:ascii="Times New Roman" w:hAnsi="Times New Roman" w:cs="Times New Roman"/>
          <w:sz w:val="24"/>
          <w:szCs w:val="24"/>
        </w:rPr>
        <w:t>6. Department of Anesthesiology and Intensive Care Medicine, Hamamatsu University School of Medicine, Shizuoka, Japan</w:t>
      </w:r>
    </w:p>
    <w:p w14:paraId="5EAEFEFF" w14:textId="77777777" w:rsidR="001B67E0" w:rsidRPr="0092322F" w:rsidRDefault="001B67E0" w:rsidP="0096583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322F">
        <w:rPr>
          <w:rFonts w:ascii="Times New Roman" w:hAnsi="Times New Roman" w:cs="Times New Roman"/>
          <w:b/>
          <w:bCs/>
          <w:sz w:val="24"/>
          <w:szCs w:val="24"/>
        </w:rPr>
        <w:t>Corresponding Author</w:t>
      </w:r>
    </w:p>
    <w:p w14:paraId="7A79769E" w14:textId="77777777" w:rsidR="001B67E0" w:rsidRPr="0092322F" w:rsidRDefault="001B67E0" w:rsidP="00965833">
      <w:pPr>
        <w:rPr>
          <w:rFonts w:ascii="Times New Roman" w:hAnsi="Times New Roman" w:cs="Times New Roman"/>
          <w:sz w:val="24"/>
          <w:szCs w:val="24"/>
        </w:rPr>
      </w:pPr>
      <w:r w:rsidRPr="0092322F">
        <w:rPr>
          <w:rFonts w:ascii="Times New Roman" w:hAnsi="Times New Roman" w:cs="Times New Roman"/>
          <w:sz w:val="24"/>
          <w:szCs w:val="24"/>
        </w:rPr>
        <w:t>Takero Terayama, M.D., PhD</w:t>
      </w:r>
    </w:p>
    <w:p w14:paraId="20C88083" w14:textId="77777777" w:rsidR="001B67E0" w:rsidRPr="0092322F" w:rsidRDefault="001B67E0" w:rsidP="00965833">
      <w:pPr>
        <w:rPr>
          <w:rFonts w:ascii="Times New Roman" w:hAnsi="Times New Roman" w:cs="Times New Roman"/>
          <w:sz w:val="24"/>
          <w:szCs w:val="24"/>
        </w:rPr>
      </w:pPr>
      <w:r w:rsidRPr="0092322F">
        <w:rPr>
          <w:rFonts w:ascii="Times New Roman" w:hAnsi="Times New Roman" w:cs="Times New Roman"/>
          <w:sz w:val="24"/>
          <w:szCs w:val="24"/>
        </w:rPr>
        <w:t xml:space="preserve">Address: Department of Emergency, Self-Defense Forces Central Hospital, </w:t>
      </w:r>
      <w:proofErr w:type="spellStart"/>
      <w:r w:rsidRPr="0092322F">
        <w:rPr>
          <w:rFonts w:ascii="Times New Roman" w:hAnsi="Times New Roman" w:cs="Times New Roman"/>
          <w:sz w:val="24"/>
          <w:szCs w:val="24"/>
        </w:rPr>
        <w:t>Ikeziri</w:t>
      </w:r>
      <w:proofErr w:type="spellEnd"/>
      <w:r w:rsidRPr="0092322F">
        <w:rPr>
          <w:rFonts w:ascii="Times New Roman" w:hAnsi="Times New Roman" w:cs="Times New Roman"/>
          <w:sz w:val="24"/>
          <w:szCs w:val="24"/>
        </w:rPr>
        <w:t xml:space="preserve"> 1-2-24, Setagaya, Tokyo, Japan</w:t>
      </w:r>
    </w:p>
    <w:p w14:paraId="46F6F7D5" w14:textId="77777777" w:rsidR="001B67E0" w:rsidRPr="0092322F" w:rsidRDefault="001B67E0" w:rsidP="00965833">
      <w:pPr>
        <w:rPr>
          <w:rFonts w:ascii="Times New Roman" w:hAnsi="Times New Roman" w:cs="Times New Roman"/>
          <w:sz w:val="24"/>
          <w:szCs w:val="24"/>
        </w:rPr>
      </w:pPr>
      <w:r w:rsidRPr="0092322F">
        <w:rPr>
          <w:rFonts w:ascii="Times New Roman" w:hAnsi="Times New Roman" w:cs="Times New Roman"/>
          <w:sz w:val="24"/>
          <w:szCs w:val="24"/>
        </w:rPr>
        <w:t>E-mail: takero.for.medical.journal@gmail.com</w:t>
      </w:r>
    </w:p>
    <w:p w14:paraId="0B8E82D8" w14:textId="77777777" w:rsidR="001B67E0" w:rsidRPr="0092322F" w:rsidRDefault="001B67E0" w:rsidP="00965833">
      <w:pPr>
        <w:rPr>
          <w:rFonts w:ascii="Times New Roman" w:hAnsi="Times New Roman" w:cs="Times New Roman"/>
          <w:sz w:val="24"/>
          <w:szCs w:val="24"/>
        </w:rPr>
      </w:pPr>
      <w:r w:rsidRPr="0092322F">
        <w:rPr>
          <w:rFonts w:ascii="Times New Roman" w:hAnsi="Times New Roman" w:cs="Times New Roman"/>
          <w:sz w:val="24"/>
          <w:szCs w:val="24"/>
        </w:rPr>
        <w:t>Telephone: +81-3-3411-0151</w:t>
      </w:r>
    </w:p>
    <w:p w14:paraId="753E517C" w14:textId="77777777" w:rsidR="001B67E0" w:rsidRPr="0092322F" w:rsidRDefault="001B67E0" w:rsidP="00965833">
      <w:pPr>
        <w:rPr>
          <w:rFonts w:ascii="Times New Roman" w:hAnsi="Times New Roman" w:cs="Times New Roman"/>
          <w:sz w:val="24"/>
          <w:szCs w:val="24"/>
        </w:rPr>
      </w:pPr>
      <w:r w:rsidRPr="0092322F">
        <w:rPr>
          <w:rFonts w:ascii="Times New Roman" w:hAnsi="Times New Roman" w:cs="Times New Roman"/>
          <w:sz w:val="24"/>
          <w:szCs w:val="24"/>
        </w:rPr>
        <w:t>Fax: +81-3-3411-0151</w:t>
      </w:r>
    </w:p>
    <w:p w14:paraId="6CE71832" w14:textId="77777777" w:rsidR="00657B44" w:rsidRPr="00657B44" w:rsidRDefault="00657B44">
      <w:pPr>
        <w:rPr>
          <w:rFonts w:ascii="Times New Roman" w:hAnsi="Times New Roman" w:cs="Times New Roman"/>
          <w:sz w:val="24"/>
          <w:szCs w:val="28"/>
        </w:rPr>
      </w:pPr>
    </w:p>
    <w:p w14:paraId="7E0FDEB5" w14:textId="141FBD04" w:rsidR="001B67E0" w:rsidRDefault="001B67E0">
      <w:pPr>
        <w:widowControl/>
        <w:jc w:val="left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4CFAA5EA" w14:textId="77777777" w:rsidR="00C16548" w:rsidRDefault="00C16548" w:rsidP="00C16548">
      <w:pPr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lastRenderedPageBreak/>
        <w:t xml:space="preserve">Table of </w:t>
      </w:r>
      <w:r>
        <w:rPr>
          <w:rFonts w:ascii="Times New Roman" w:hAnsi="Times New Roman" w:cs="Times New Roman" w:hint="eastAsia"/>
          <w:b/>
          <w:bCs/>
          <w:sz w:val="24"/>
          <w:szCs w:val="28"/>
        </w:rPr>
        <w:t>C</w:t>
      </w:r>
      <w:r>
        <w:rPr>
          <w:rFonts w:ascii="Times New Roman" w:hAnsi="Times New Roman" w:cs="Times New Roman"/>
          <w:b/>
          <w:bCs/>
          <w:sz w:val="24"/>
          <w:szCs w:val="28"/>
        </w:rPr>
        <w:t>ontents</w:t>
      </w:r>
    </w:p>
    <w:p w14:paraId="2F278E6E" w14:textId="275B4865" w:rsidR="00C16548" w:rsidRDefault="00C16548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 w:hint="eastAsia"/>
          <w:b/>
          <w:bCs/>
          <w:sz w:val="24"/>
          <w:szCs w:val="28"/>
        </w:rPr>
        <w:t>F</w:t>
      </w:r>
      <w:r>
        <w:rPr>
          <w:rFonts w:ascii="Times New Roman" w:hAnsi="Times New Roman" w:cs="Times New Roman"/>
          <w:b/>
          <w:bCs/>
          <w:sz w:val="24"/>
          <w:szCs w:val="28"/>
        </w:rPr>
        <w:t>igure S1………………………………………………………………………………...3</w:t>
      </w:r>
    </w:p>
    <w:p w14:paraId="6623463C" w14:textId="63C0CA9A" w:rsidR="00C16548" w:rsidRDefault="00C16548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 w:hint="eastAsia"/>
          <w:b/>
          <w:bCs/>
          <w:sz w:val="24"/>
          <w:szCs w:val="28"/>
        </w:rPr>
        <w:t>F</w:t>
      </w:r>
      <w:r>
        <w:rPr>
          <w:rFonts w:ascii="Times New Roman" w:hAnsi="Times New Roman" w:cs="Times New Roman"/>
          <w:b/>
          <w:bCs/>
          <w:sz w:val="24"/>
          <w:szCs w:val="28"/>
        </w:rPr>
        <w:t>igure S2………………………………………………………………………………...4</w:t>
      </w:r>
    </w:p>
    <w:p w14:paraId="27522B9C" w14:textId="77777777" w:rsidR="00996B76" w:rsidRPr="00996B76" w:rsidRDefault="00996B76" w:rsidP="00996B76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996B76">
        <w:rPr>
          <w:rFonts w:ascii="Times New Roman" w:hAnsi="Times New Roman" w:cs="Times New Roman"/>
          <w:b/>
          <w:bCs/>
          <w:sz w:val="24"/>
          <w:szCs w:val="28"/>
        </w:rPr>
        <w:t>Table S1………………………………………………………………………………….5</w:t>
      </w:r>
    </w:p>
    <w:p w14:paraId="51FB75D5" w14:textId="19673468" w:rsidR="00C16548" w:rsidRDefault="00C16548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739F01E" w14:textId="77777777" w:rsidR="00C16548" w:rsidRDefault="00C16548">
      <w:pPr>
        <w:widowControl/>
        <w:jc w:val="left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4947A0B8" w14:textId="3A6EC9A1" w:rsidR="001B67E0" w:rsidRPr="001B67E0" w:rsidRDefault="00657B44" w:rsidP="0096583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B67E0">
        <w:rPr>
          <w:rFonts w:ascii="Times New Roman" w:hAnsi="Times New Roman" w:cs="Times New Roman" w:hint="eastAsia"/>
          <w:b/>
          <w:bCs/>
          <w:sz w:val="24"/>
          <w:szCs w:val="28"/>
        </w:rPr>
        <w:lastRenderedPageBreak/>
        <w:t>F</w:t>
      </w:r>
      <w:r w:rsidRPr="001B67E0">
        <w:rPr>
          <w:rFonts w:ascii="Times New Roman" w:hAnsi="Times New Roman" w:cs="Times New Roman"/>
          <w:b/>
          <w:bCs/>
          <w:sz w:val="24"/>
          <w:szCs w:val="28"/>
        </w:rPr>
        <w:t xml:space="preserve">igure S1. </w:t>
      </w:r>
      <w:r w:rsidRPr="001B67E0">
        <w:rPr>
          <w:rFonts w:ascii="Times New Roman" w:hAnsi="Times New Roman" w:cs="Times New Roman"/>
          <w:b/>
          <w:bCs/>
          <w:sz w:val="24"/>
          <w:szCs w:val="24"/>
        </w:rPr>
        <w:t>Steps to determining the certainty of the net effect estimate</w:t>
      </w:r>
    </w:p>
    <w:p w14:paraId="44FB5312" w14:textId="7441236C" w:rsidR="001B67E0" w:rsidRDefault="00911B46" w:rsidP="00965833">
      <w:pPr>
        <w:spacing w:line="480" w:lineRule="auto"/>
        <w:rPr>
          <w:rFonts w:ascii="Times New Roman" w:hAnsi="Times New Roman" w:cs="Times New Roman"/>
          <w:sz w:val="24"/>
          <w:szCs w:val="28"/>
        </w:rPr>
      </w:pPr>
      <w:r w:rsidRPr="00911B46"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01F8DCA0" wp14:editId="44EA080D">
            <wp:extent cx="5400040" cy="4297680"/>
            <wp:effectExtent l="19050" t="19050" r="10160" b="26670"/>
            <wp:docPr id="1126659485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5948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976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9EC1F55" w14:textId="77777777" w:rsidR="001B67E0" w:rsidRPr="00E809EC" w:rsidRDefault="001B67E0" w:rsidP="0096583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809EC">
        <w:rPr>
          <w:rFonts w:ascii="Times New Roman" w:hAnsi="Times New Roman" w:cs="Times New Roman"/>
          <w:sz w:val="24"/>
          <w:szCs w:val="24"/>
        </w:rPr>
        <w:t xml:space="preserve">* These outcomes are:1) Outcomes for which removal of the outcome would change the classification of the precision of the net effect estimate. 2) Outcomes for which </w:t>
      </w:r>
      <w:r w:rsidRPr="00E809EC">
        <w:rPr>
          <w:rFonts w:ascii="Times New Roman" w:eastAsia="Yu Mincho" w:hAnsi="Times New Roman" w:cs="Times New Roman"/>
          <w:sz w:val="24"/>
          <w:szCs w:val="24"/>
        </w:rPr>
        <w:t>the addition of plausible increases to the effect estimate (</w:t>
      </w:r>
      <w:r w:rsidRPr="00E809EC">
        <w:rPr>
          <w:rFonts w:ascii="Times New Roman" w:hAnsi="Times New Roman" w:cs="Times New Roman"/>
          <w:sz w:val="24"/>
          <w:szCs w:val="24"/>
        </w:rPr>
        <w:t xml:space="preserve">effect estimates with lower certainty) would change the classification. </w:t>
      </w:r>
    </w:p>
    <w:p w14:paraId="227AF2C0" w14:textId="45C52261" w:rsidR="001B67E0" w:rsidRPr="00E809EC" w:rsidRDefault="001B67E0" w:rsidP="0096583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809EC">
        <w:rPr>
          <w:rFonts w:ascii="Times New Roman" w:hAnsi="Times New Roman" w:cs="Times New Roman"/>
          <w:sz w:val="24"/>
          <w:szCs w:val="24"/>
        </w:rPr>
        <w:t>†</w:t>
      </w:r>
      <w:r w:rsidR="00965833">
        <w:rPr>
          <w:rFonts w:ascii="Times New Roman" w:hAnsi="Times New Roman" w:cs="Times New Roman"/>
          <w:sz w:val="24"/>
          <w:szCs w:val="24"/>
        </w:rPr>
        <w:t xml:space="preserve"> </w:t>
      </w:r>
      <w:r w:rsidRPr="00E809EC">
        <w:rPr>
          <w:rFonts w:ascii="Times New Roman" w:hAnsi="Times New Roman" w:cs="Times New Roman"/>
          <w:sz w:val="24"/>
          <w:szCs w:val="24"/>
        </w:rPr>
        <w:t>In this study, a reasonable range was determined based on the range from the smallest to the largest value among the relative importance values determined in Step 2.</w:t>
      </w:r>
    </w:p>
    <w:p w14:paraId="695098D0" w14:textId="51934202" w:rsidR="00965833" w:rsidRDefault="00965833">
      <w:pPr>
        <w:widowControl/>
        <w:jc w:val="lef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14:paraId="6748A16B" w14:textId="6313E7F4" w:rsidR="002F6C25" w:rsidRPr="0052196F" w:rsidRDefault="002F6C25" w:rsidP="00965833">
      <w:pPr>
        <w:spacing w:line="480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52196F">
        <w:rPr>
          <w:rFonts w:ascii="Times New Roman" w:hAnsi="Times New Roman" w:cs="Times New Roman" w:hint="eastAsia"/>
          <w:b/>
          <w:bCs/>
          <w:sz w:val="24"/>
          <w:szCs w:val="28"/>
        </w:rPr>
        <w:lastRenderedPageBreak/>
        <w:t>F</w:t>
      </w:r>
      <w:r w:rsidRPr="0052196F">
        <w:rPr>
          <w:rFonts w:ascii="Times New Roman" w:hAnsi="Times New Roman" w:cs="Times New Roman"/>
          <w:b/>
          <w:bCs/>
          <w:sz w:val="24"/>
          <w:szCs w:val="28"/>
        </w:rPr>
        <w:t xml:space="preserve">igure S2. </w:t>
      </w:r>
      <w:r w:rsidR="00C16548">
        <w:rPr>
          <w:rFonts w:ascii="Times New Roman" w:hAnsi="Times New Roman" w:cs="Times New Roman"/>
          <w:b/>
          <w:bCs/>
          <w:sz w:val="24"/>
          <w:szCs w:val="24"/>
        </w:rPr>
        <w:t>Patterns of change in</w:t>
      </w:r>
      <w:r w:rsidR="0052196F" w:rsidRPr="0052196F">
        <w:rPr>
          <w:rFonts w:ascii="Times New Roman" w:hAnsi="Times New Roman" w:cs="Times New Roman"/>
          <w:b/>
          <w:bCs/>
          <w:sz w:val="24"/>
          <w:szCs w:val="24"/>
        </w:rPr>
        <w:t xml:space="preserve"> certainty of evidence (</w:t>
      </w:r>
      <w:proofErr w:type="spellStart"/>
      <w:r w:rsidR="0052196F" w:rsidRPr="0052196F">
        <w:rPr>
          <w:rFonts w:ascii="Times New Roman" w:hAnsi="Times New Roman" w:cs="Times New Roman"/>
          <w:b/>
          <w:bCs/>
          <w:sz w:val="24"/>
          <w:szCs w:val="24"/>
        </w:rPr>
        <w:t>CoE</w:t>
      </w:r>
      <w:proofErr w:type="spellEnd"/>
      <w:r w:rsidR="0052196F" w:rsidRPr="0052196F">
        <w:rPr>
          <w:rFonts w:ascii="Times New Roman" w:hAnsi="Times New Roman" w:cs="Times New Roman"/>
          <w:b/>
          <w:bCs/>
          <w:sz w:val="24"/>
          <w:szCs w:val="24"/>
        </w:rPr>
        <w:t>) between the traditional method and the net benefit approach by clinical question</w:t>
      </w:r>
    </w:p>
    <w:p w14:paraId="1BCAE0F0" w14:textId="4F3F4ACA" w:rsidR="002F6C25" w:rsidRDefault="00ED2FE4" w:rsidP="00965833">
      <w:pPr>
        <w:spacing w:line="480" w:lineRule="auto"/>
        <w:rPr>
          <w:rFonts w:ascii="Times New Roman" w:hAnsi="Times New Roman" w:cs="Times New Roman"/>
          <w:sz w:val="24"/>
          <w:szCs w:val="28"/>
        </w:rPr>
      </w:pPr>
      <w:r w:rsidRPr="00ED2FE4"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4A250F28" wp14:editId="7884B7DD">
            <wp:extent cx="5400040" cy="3345815"/>
            <wp:effectExtent l="0" t="0" r="0" b="6985"/>
            <wp:docPr id="2005484389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48438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4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60CE1" w14:textId="4929A0D2" w:rsidR="0052196F" w:rsidRPr="00E809EC" w:rsidRDefault="0052196F" w:rsidP="00965833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E809EC">
        <w:rPr>
          <w:rFonts w:ascii="Times New Roman" w:hAnsi="Times New Roman" w:cs="Times New Roman" w:hint="eastAsia"/>
          <w:sz w:val="24"/>
          <w:szCs w:val="24"/>
        </w:rPr>
        <w:t>C</w:t>
      </w:r>
      <w:r w:rsidRPr="00E809EC">
        <w:rPr>
          <w:rFonts w:ascii="Times New Roman" w:hAnsi="Times New Roman" w:cs="Times New Roman"/>
          <w:sz w:val="24"/>
          <w:szCs w:val="24"/>
        </w:rPr>
        <w:t>oE</w:t>
      </w:r>
      <w:proofErr w:type="spellEnd"/>
      <w:r w:rsidRPr="00E809EC">
        <w:rPr>
          <w:rFonts w:ascii="Times New Roman" w:hAnsi="Times New Roman" w:cs="Times New Roman"/>
          <w:sz w:val="24"/>
          <w:szCs w:val="24"/>
        </w:rPr>
        <w:t xml:space="preserve">, certainty of </w:t>
      </w:r>
      <w:r>
        <w:rPr>
          <w:rFonts w:ascii="Times New Roman" w:hAnsi="Times New Roman" w:cs="Times New Roman"/>
          <w:sz w:val="24"/>
          <w:szCs w:val="24"/>
        </w:rPr>
        <w:t>evidence.</w:t>
      </w:r>
    </w:p>
    <w:p w14:paraId="54A2C7F1" w14:textId="6286FA99" w:rsidR="002F6C25" w:rsidRDefault="0052196F" w:rsidP="00965833">
      <w:pPr>
        <w:spacing w:line="48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 w:hint="eastAsia"/>
          <w:sz w:val="24"/>
          <w:szCs w:val="28"/>
        </w:rPr>
        <w:t>*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C16548">
        <w:rPr>
          <w:rFonts w:ascii="Times New Roman" w:hAnsi="Times New Roman" w:cs="Times New Roman"/>
          <w:sz w:val="24"/>
          <w:szCs w:val="28"/>
        </w:rPr>
        <w:t>The c</w:t>
      </w:r>
      <w:r w:rsidRPr="0052196F">
        <w:rPr>
          <w:rFonts w:ascii="Times New Roman" w:hAnsi="Times New Roman" w:cs="Times New Roman"/>
          <w:sz w:val="24"/>
          <w:szCs w:val="28"/>
        </w:rPr>
        <w:t>lassifi</w:t>
      </w:r>
      <w:r>
        <w:rPr>
          <w:rFonts w:ascii="Times New Roman" w:hAnsi="Times New Roman" w:cs="Times New Roman"/>
          <w:sz w:val="24"/>
          <w:szCs w:val="28"/>
        </w:rPr>
        <w:t xml:space="preserve">cation of </w:t>
      </w:r>
      <w:r w:rsidR="00C16548">
        <w:rPr>
          <w:rFonts w:ascii="Times New Roman" w:hAnsi="Times New Roman" w:cs="Times New Roman"/>
          <w:sz w:val="24"/>
          <w:szCs w:val="28"/>
        </w:rPr>
        <w:t>clinical questions</w:t>
      </w:r>
      <w:r w:rsidRPr="0052196F">
        <w:rPr>
          <w:rFonts w:ascii="Times New Roman" w:hAnsi="Times New Roman" w:cs="Times New Roman"/>
          <w:sz w:val="24"/>
          <w:szCs w:val="28"/>
        </w:rPr>
        <w:t xml:space="preserve"> </w:t>
      </w:r>
      <w:r w:rsidR="00C16548">
        <w:rPr>
          <w:rFonts w:ascii="Times New Roman" w:hAnsi="Times New Roman" w:cs="Times New Roman"/>
          <w:sz w:val="24"/>
          <w:szCs w:val="28"/>
        </w:rPr>
        <w:t xml:space="preserve">was </w:t>
      </w:r>
      <w:r w:rsidRPr="0052196F">
        <w:rPr>
          <w:rFonts w:ascii="Times New Roman" w:hAnsi="Times New Roman" w:cs="Times New Roman"/>
          <w:sz w:val="24"/>
          <w:szCs w:val="28"/>
        </w:rPr>
        <w:t xml:space="preserve">based on changes in the </w:t>
      </w:r>
      <w:proofErr w:type="spellStart"/>
      <w:r w:rsidRPr="0052196F">
        <w:rPr>
          <w:rFonts w:ascii="Times New Roman" w:hAnsi="Times New Roman" w:cs="Times New Roman"/>
          <w:sz w:val="24"/>
          <w:szCs w:val="28"/>
        </w:rPr>
        <w:t>CoE</w:t>
      </w:r>
      <w:proofErr w:type="spellEnd"/>
      <w:r w:rsidRPr="0052196F">
        <w:rPr>
          <w:rFonts w:ascii="Times New Roman" w:hAnsi="Times New Roman" w:cs="Times New Roman"/>
          <w:sz w:val="24"/>
          <w:szCs w:val="28"/>
        </w:rPr>
        <w:t xml:space="preserve"> using the net benefit approach as compared to using the traditional method: those with a decrease in the </w:t>
      </w:r>
      <w:proofErr w:type="spellStart"/>
      <w:r w:rsidRPr="0052196F">
        <w:rPr>
          <w:rFonts w:ascii="Times New Roman" w:hAnsi="Times New Roman" w:cs="Times New Roman"/>
          <w:sz w:val="24"/>
          <w:szCs w:val="28"/>
        </w:rPr>
        <w:t>CoE</w:t>
      </w:r>
      <w:proofErr w:type="spellEnd"/>
      <w:r w:rsidRPr="0052196F">
        <w:rPr>
          <w:rFonts w:ascii="Times New Roman" w:hAnsi="Times New Roman" w:cs="Times New Roman"/>
          <w:sz w:val="24"/>
          <w:szCs w:val="28"/>
        </w:rPr>
        <w:t xml:space="preserve"> (Group I), those with no change (Group II), and those with an increase (Group III).</w:t>
      </w:r>
    </w:p>
    <w:p w14:paraId="3F6029A2" w14:textId="77777777" w:rsidR="00365975" w:rsidRDefault="00365975" w:rsidP="00965833">
      <w:pPr>
        <w:spacing w:line="480" w:lineRule="auto"/>
        <w:rPr>
          <w:rFonts w:ascii="Times New Roman" w:hAnsi="Times New Roman" w:cs="Times New Roman"/>
          <w:sz w:val="24"/>
          <w:szCs w:val="28"/>
        </w:rPr>
      </w:pPr>
    </w:p>
    <w:p w14:paraId="52378853" w14:textId="3775C34D" w:rsidR="00365975" w:rsidRDefault="00365975">
      <w:pPr>
        <w:widowControl/>
        <w:jc w:val="lef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14:paraId="04387072" w14:textId="47E0EBF6" w:rsidR="00EA63AA" w:rsidRDefault="00EA63AA" w:rsidP="00965833">
      <w:pPr>
        <w:spacing w:line="480" w:lineRule="auto"/>
        <w:rPr>
          <w:rFonts w:ascii="Times New Roman" w:hAnsi="Times New Roman" w:cs="Times New Roman"/>
          <w:b/>
          <w:bCs/>
          <w:sz w:val="24"/>
          <w:szCs w:val="28"/>
        </w:rPr>
        <w:sectPr w:rsidR="00EA63AA">
          <w:pgSz w:w="11906" w:h="16838"/>
          <w:pgMar w:top="1985" w:right="1701" w:bottom="1701" w:left="1701" w:header="851" w:footer="992" w:gutter="0"/>
          <w:cols w:space="425"/>
          <w:docGrid w:type="lines" w:linePitch="360"/>
        </w:sectPr>
      </w:pPr>
    </w:p>
    <w:p w14:paraId="3BD23112" w14:textId="6AF6104E" w:rsidR="00365975" w:rsidRPr="00365975" w:rsidRDefault="00EA63AA" w:rsidP="00965833">
      <w:pPr>
        <w:spacing w:line="480" w:lineRule="auto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lastRenderedPageBreak/>
        <w:t>Table</w:t>
      </w:r>
      <w:r w:rsidRPr="00365975">
        <w:rPr>
          <w:rFonts w:ascii="Times New Roman" w:hAnsi="Times New Roman" w:cs="Times New Roman"/>
          <w:b/>
          <w:bCs/>
          <w:sz w:val="24"/>
          <w:szCs w:val="28"/>
        </w:rPr>
        <w:t xml:space="preserve"> S1. The details of the included Clinical Questions</w:t>
      </w:r>
    </w:p>
    <w:tbl>
      <w:tblPr>
        <w:tblStyle w:val="TableGrid"/>
        <w:tblW w:w="12856" w:type="dxa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0"/>
        <w:gridCol w:w="7567"/>
        <w:gridCol w:w="2268"/>
        <w:gridCol w:w="1951"/>
      </w:tblGrid>
      <w:tr w:rsidR="00EA63AA" w:rsidRPr="00365975" w14:paraId="2BF29F47" w14:textId="77777777" w:rsidTr="00A80B41">
        <w:tc>
          <w:tcPr>
            <w:tcW w:w="1070" w:type="dxa"/>
            <w:tcBorders>
              <w:top w:val="single" w:sz="4" w:space="0" w:color="auto"/>
              <w:bottom w:val="single" w:sz="4" w:space="0" w:color="auto"/>
            </w:tcBorders>
          </w:tcPr>
          <w:p w14:paraId="77C2E1EB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umber</w:t>
            </w:r>
          </w:p>
        </w:tc>
        <w:tc>
          <w:tcPr>
            <w:tcW w:w="7567" w:type="dxa"/>
            <w:tcBorders>
              <w:top w:val="single" w:sz="4" w:space="0" w:color="auto"/>
              <w:bottom w:val="single" w:sz="4" w:space="0" w:color="auto"/>
            </w:tcBorders>
          </w:tcPr>
          <w:p w14:paraId="0A61FE78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59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linical </w:t>
            </w:r>
            <w:r w:rsidRPr="003659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uestions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C6BEC13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930B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CoE</w:t>
            </w:r>
            <w:proofErr w:type="spellEnd"/>
            <w:r w:rsidRPr="00930B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by the traditional method</w:t>
            </w:r>
          </w:p>
        </w:tc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</w:tcPr>
          <w:p w14:paraId="034C94BC" w14:textId="22C39BF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930B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CoE</w:t>
            </w:r>
            <w:proofErr w:type="spellEnd"/>
            <w:r w:rsidRPr="00930B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by the </w:t>
            </w:r>
            <w:r w:rsidR="00DF33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net benefit approach</w:t>
            </w:r>
          </w:p>
        </w:tc>
      </w:tr>
      <w:tr w:rsidR="00EA63AA" w:rsidRPr="00365975" w14:paraId="50637B2C" w14:textId="77777777" w:rsidTr="00A80B41">
        <w:tc>
          <w:tcPr>
            <w:tcW w:w="1070" w:type="dxa"/>
            <w:tcBorders>
              <w:top w:val="single" w:sz="4" w:space="0" w:color="auto"/>
            </w:tcBorders>
            <w:vAlign w:val="center"/>
          </w:tcPr>
          <w:p w14:paraId="15D53C5E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4-7</w:t>
            </w:r>
          </w:p>
        </w:tc>
        <w:tc>
          <w:tcPr>
            <w:tcW w:w="7567" w:type="dxa"/>
            <w:tcBorders>
              <w:top w:val="single" w:sz="4" w:space="0" w:color="auto"/>
            </w:tcBorders>
            <w:vAlign w:val="center"/>
          </w:tcPr>
          <w:p w14:paraId="307996E6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Should continuous or extended infusion of β-lactam antibiotics be used for sepsis?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439ECA99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vAlign w:val="center"/>
          </w:tcPr>
          <w:p w14:paraId="3DCF2FA4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</w:tr>
      <w:tr w:rsidR="00EA63AA" w:rsidRPr="00365975" w14:paraId="038C209E" w14:textId="77777777" w:rsidTr="00A80B41">
        <w:tc>
          <w:tcPr>
            <w:tcW w:w="1070" w:type="dxa"/>
            <w:vAlign w:val="center"/>
          </w:tcPr>
          <w:p w14:paraId="13792399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4-8</w:t>
            </w:r>
          </w:p>
        </w:tc>
        <w:tc>
          <w:tcPr>
            <w:tcW w:w="7567" w:type="dxa"/>
            <w:vAlign w:val="center"/>
          </w:tcPr>
          <w:p w14:paraId="29576B8A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Should de-escalation antimicrobial therapy be used for sepsis?</w:t>
            </w:r>
          </w:p>
        </w:tc>
        <w:tc>
          <w:tcPr>
            <w:tcW w:w="2268" w:type="dxa"/>
            <w:vAlign w:val="center"/>
          </w:tcPr>
          <w:p w14:paraId="19C56780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low</w:t>
            </w:r>
          </w:p>
        </w:tc>
        <w:tc>
          <w:tcPr>
            <w:tcW w:w="1951" w:type="dxa"/>
            <w:vAlign w:val="center"/>
          </w:tcPr>
          <w:p w14:paraId="45204F39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moderate</w:t>
            </w:r>
          </w:p>
        </w:tc>
      </w:tr>
      <w:tr w:rsidR="00EA63AA" w:rsidRPr="00365975" w14:paraId="4CD9112A" w14:textId="77777777" w:rsidTr="00A80B41">
        <w:tc>
          <w:tcPr>
            <w:tcW w:w="1070" w:type="dxa"/>
            <w:vAlign w:val="center"/>
          </w:tcPr>
          <w:p w14:paraId="31CBF7E2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4-10</w:t>
            </w:r>
          </w:p>
        </w:tc>
        <w:tc>
          <w:tcPr>
            <w:tcW w:w="7567" w:type="dxa"/>
            <w:vAlign w:val="center"/>
          </w:tcPr>
          <w:p w14:paraId="78F17290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Should relatively short-term (</w:t>
            </w:r>
            <w:proofErr w:type="gramStart"/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i.e.</w:t>
            </w:r>
            <w:proofErr w:type="gramEnd"/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 xml:space="preserve"> within 7 days) antimicrobial therapy be applied for sepsis?</w:t>
            </w:r>
          </w:p>
        </w:tc>
        <w:tc>
          <w:tcPr>
            <w:tcW w:w="2268" w:type="dxa"/>
            <w:vAlign w:val="center"/>
          </w:tcPr>
          <w:p w14:paraId="61C4F9DE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  <w:tc>
          <w:tcPr>
            <w:tcW w:w="1951" w:type="dxa"/>
            <w:vAlign w:val="center"/>
          </w:tcPr>
          <w:p w14:paraId="5CB2A7B7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</w:tr>
      <w:tr w:rsidR="00EA63AA" w:rsidRPr="00365975" w14:paraId="5CECA928" w14:textId="77777777" w:rsidTr="00A80B41">
        <w:tc>
          <w:tcPr>
            <w:tcW w:w="1070" w:type="dxa"/>
            <w:vAlign w:val="center"/>
          </w:tcPr>
          <w:p w14:paraId="3E74517F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5-2-1</w:t>
            </w:r>
          </w:p>
        </w:tc>
        <w:tc>
          <w:tcPr>
            <w:tcW w:w="7567" w:type="dxa"/>
            <w:vAlign w:val="center"/>
          </w:tcPr>
          <w:p w14:paraId="0F675BCB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Should IVIG be administered to patients with streptococcal toxic shock syndrome (STSS)?</w:t>
            </w:r>
          </w:p>
        </w:tc>
        <w:tc>
          <w:tcPr>
            <w:tcW w:w="2268" w:type="dxa"/>
            <w:vAlign w:val="center"/>
          </w:tcPr>
          <w:p w14:paraId="0B392862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  <w:tc>
          <w:tcPr>
            <w:tcW w:w="1951" w:type="dxa"/>
            <w:vAlign w:val="center"/>
          </w:tcPr>
          <w:p w14:paraId="2ACEDC78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</w:tr>
      <w:tr w:rsidR="00EA63AA" w:rsidRPr="00365975" w14:paraId="37E45FF9" w14:textId="77777777" w:rsidTr="00A80B41">
        <w:tc>
          <w:tcPr>
            <w:tcW w:w="1070" w:type="dxa"/>
            <w:vAlign w:val="center"/>
          </w:tcPr>
          <w:p w14:paraId="7E223AE5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lastRenderedPageBreak/>
              <w:t>6-3</w:t>
            </w:r>
          </w:p>
        </w:tc>
        <w:tc>
          <w:tcPr>
            <w:tcW w:w="7567" w:type="dxa"/>
            <w:vAlign w:val="center"/>
          </w:tcPr>
          <w:p w14:paraId="023A5B75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Should vasopressors be used simultaneously or in the early stage (within 3 h) of initial fluid resuscitation in adult patients with sepsis?</w:t>
            </w:r>
          </w:p>
        </w:tc>
        <w:tc>
          <w:tcPr>
            <w:tcW w:w="2268" w:type="dxa"/>
            <w:vAlign w:val="center"/>
          </w:tcPr>
          <w:p w14:paraId="13D33926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  <w:tc>
          <w:tcPr>
            <w:tcW w:w="1951" w:type="dxa"/>
            <w:vAlign w:val="center"/>
          </w:tcPr>
          <w:p w14:paraId="29442FA4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</w:tr>
      <w:tr w:rsidR="00EA63AA" w:rsidRPr="00365975" w14:paraId="68F84192" w14:textId="77777777" w:rsidTr="00A80B41">
        <w:tc>
          <w:tcPr>
            <w:tcW w:w="1070" w:type="dxa"/>
            <w:vAlign w:val="center"/>
          </w:tcPr>
          <w:p w14:paraId="4F42B28A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6-9-1</w:t>
            </w:r>
          </w:p>
        </w:tc>
        <w:tc>
          <w:tcPr>
            <w:tcW w:w="7567" w:type="dxa"/>
            <w:vAlign w:val="center"/>
          </w:tcPr>
          <w:p w14:paraId="4CC8453A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A06FA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Should noradrenaline, dopamine, or phenylephrine be used as a first-line vasopressor in adult patients with sepsis? noradrenaline vs. dopamine</w:t>
            </w:r>
          </w:p>
        </w:tc>
        <w:tc>
          <w:tcPr>
            <w:tcW w:w="2268" w:type="dxa"/>
            <w:vAlign w:val="center"/>
          </w:tcPr>
          <w:p w14:paraId="3A14ADE5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  <w:tc>
          <w:tcPr>
            <w:tcW w:w="1951" w:type="dxa"/>
            <w:vAlign w:val="center"/>
          </w:tcPr>
          <w:p w14:paraId="465FEC47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moderate</w:t>
            </w:r>
          </w:p>
        </w:tc>
      </w:tr>
      <w:tr w:rsidR="00EA63AA" w:rsidRPr="00365975" w14:paraId="1DEFFC11" w14:textId="77777777" w:rsidTr="00A80B41">
        <w:tc>
          <w:tcPr>
            <w:tcW w:w="1070" w:type="dxa"/>
            <w:vAlign w:val="center"/>
          </w:tcPr>
          <w:p w14:paraId="16F87FD1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6-9-2</w:t>
            </w:r>
          </w:p>
        </w:tc>
        <w:tc>
          <w:tcPr>
            <w:tcW w:w="7567" w:type="dxa"/>
            <w:vAlign w:val="center"/>
          </w:tcPr>
          <w:p w14:paraId="564C3F7A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A06FA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Should noradrenaline, dopamine, or phenylephrine be used as a first-line vasopressor in adult patients with sepsis? noradrenaline vs. phenylephrine</w:t>
            </w:r>
          </w:p>
        </w:tc>
        <w:tc>
          <w:tcPr>
            <w:tcW w:w="2268" w:type="dxa"/>
            <w:vAlign w:val="center"/>
          </w:tcPr>
          <w:p w14:paraId="462C2142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  <w:tc>
          <w:tcPr>
            <w:tcW w:w="1951" w:type="dxa"/>
            <w:vAlign w:val="center"/>
          </w:tcPr>
          <w:p w14:paraId="2604B712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low</w:t>
            </w:r>
          </w:p>
        </w:tc>
      </w:tr>
      <w:tr w:rsidR="00EA63AA" w:rsidRPr="00365975" w14:paraId="4A9A8EEF" w14:textId="77777777" w:rsidTr="00A80B41">
        <w:tc>
          <w:tcPr>
            <w:tcW w:w="1070" w:type="dxa"/>
            <w:vAlign w:val="center"/>
          </w:tcPr>
          <w:p w14:paraId="1AA5D971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7-2</w:t>
            </w:r>
          </w:p>
        </w:tc>
        <w:tc>
          <w:tcPr>
            <w:tcW w:w="7567" w:type="dxa"/>
            <w:vAlign w:val="center"/>
          </w:tcPr>
          <w:p w14:paraId="67937F8B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A06FA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Should hydrocortisone and fludrocortisone be administered to patients with septic shock who do not respond to initial fluid resuscitation and vasopressors?</w:t>
            </w:r>
          </w:p>
        </w:tc>
        <w:tc>
          <w:tcPr>
            <w:tcW w:w="2268" w:type="dxa"/>
            <w:vAlign w:val="center"/>
          </w:tcPr>
          <w:p w14:paraId="2090D9E1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low</w:t>
            </w:r>
          </w:p>
        </w:tc>
        <w:tc>
          <w:tcPr>
            <w:tcW w:w="1951" w:type="dxa"/>
            <w:vAlign w:val="center"/>
          </w:tcPr>
          <w:p w14:paraId="7003532B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high</w:t>
            </w:r>
          </w:p>
        </w:tc>
      </w:tr>
      <w:tr w:rsidR="00EA63AA" w:rsidRPr="00365975" w14:paraId="1B06BC11" w14:textId="77777777" w:rsidTr="00A80B41">
        <w:tc>
          <w:tcPr>
            <w:tcW w:w="1070" w:type="dxa"/>
            <w:vAlign w:val="center"/>
          </w:tcPr>
          <w:p w14:paraId="266A3979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  <w:tc>
          <w:tcPr>
            <w:tcW w:w="7567" w:type="dxa"/>
            <w:vAlign w:val="center"/>
          </w:tcPr>
          <w:p w14:paraId="542B97D8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A06FA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Should corticosteroids (hydrocortisone) be administered to patients with sepsis without shock?</w:t>
            </w:r>
          </w:p>
        </w:tc>
        <w:tc>
          <w:tcPr>
            <w:tcW w:w="2268" w:type="dxa"/>
            <w:vAlign w:val="center"/>
          </w:tcPr>
          <w:p w14:paraId="276D1ED9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low</w:t>
            </w:r>
          </w:p>
        </w:tc>
        <w:tc>
          <w:tcPr>
            <w:tcW w:w="1951" w:type="dxa"/>
            <w:vAlign w:val="center"/>
          </w:tcPr>
          <w:p w14:paraId="20453B75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low</w:t>
            </w:r>
          </w:p>
        </w:tc>
      </w:tr>
      <w:tr w:rsidR="00EA63AA" w:rsidRPr="00365975" w14:paraId="230C93F0" w14:textId="77777777" w:rsidTr="00A80B41">
        <w:tc>
          <w:tcPr>
            <w:tcW w:w="1070" w:type="dxa"/>
            <w:vAlign w:val="center"/>
          </w:tcPr>
          <w:p w14:paraId="6C69935E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lastRenderedPageBreak/>
              <w:t>11-1</w:t>
            </w:r>
          </w:p>
        </w:tc>
        <w:tc>
          <w:tcPr>
            <w:tcW w:w="7567" w:type="dxa"/>
            <w:vAlign w:val="center"/>
          </w:tcPr>
          <w:p w14:paraId="29476A05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A06FA">
              <w:rPr>
                <w:rFonts w:ascii="Times New Roman" w:hAnsi="Times New Roman" w:cs="Times New Roman"/>
                <w:sz w:val="24"/>
                <w:szCs w:val="24"/>
              </w:rPr>
              <w:t>Should furosemide be used to prevent or treat septic AKI?</w:t>
            </w:r>
          </w:p>
        </w:tc>
        <w:tc>
          <w:tcPr>
            <w:tcW w:w="2268" w:type="dxa"/>
            <w:vAlign w:val="center"/>
          </w:tcPr>
          <w:p w14:paraId="33BB18CF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low</w:t>
            </w:r>
          </w:p>
        </w:tc>
        <w:tc>
          <w:tcPr>
            <w:tcW w:w="1951" w:type="dxa"/>
            <w:vAlign w:val="center"/>
          </w:tcPr>
          <w:p w14:paraId="2BB3929E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low</w:t>
            </w:r>
          </w:p>
        </w:tc>
      </w:tr>
      <w:tr w:rsidR="00EA63AA" w:rsidRPr="00365975" w14:paraId="6D7E9F1B" w14:textId="77777777" w:rsidTr="00A80B41">
        <w:tc>
          <w:tcPr>
            <w:tcW w:w="1070" w:type="dxa"/>
            <w:vAlign w:val="center"/>
          </w:tcPr>
          <w:p w14:paraId="34941E2D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11-2</w:t>
            </w:r>
          </w:p>
        </w:tc>
        <w:tc>
          <w:tcPr>
            <w:tcW w:w="7567" w:type="dxa"/>
            <w:vAlign w:val="center"/>
          </w:tcPr>
          <w:p w14:paraId="315682D5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A06FA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Should atrial natriuretic peptide (ANP) be used to prevent or treat septic AKI?</w:t>
            </w:r>
          </w:p>
        </w:tc>
        <w:tc>
          <w:tcPr>
            <w:tcW w:w="2268" w:type="dxa"/>
            <w:vAlign w:val="center"/>
          </w:tcPr>
          <w:p w14:paraId="5EE60117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  <w:tc>
          <w:tcPr>
            <w:tcW w:w="1951" w:type="dxa"/>
            <w:vAlign w:val="center"/>
          </w:tcPr>
          <w:p w14:paraId="38C4B5C9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</w:tr>
      <w:tr w:rsidR="00EA63AA" w:rsidRPr="00365975" w14:paraId="08649849" w14:textId="77777777" w:rsidTr="00A80B41">
        <w:tc>
          <w:tcPr>
            <w:tcW w:w="1070" w:type="dxa"/>
            <w:vAlign w:val="center"/>
          </w:tcPr>
          <w:p w14:paraId="2DAACCC4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11-3</w:t>
            </w:r>
          </w:p>
        </w:tc>
        <w:tc>
          <w:tcPr>
            <w:tcW w:w="7567" w:type="dxa"/>
            <w:vAlign w:val="center"/>
          </w:tcPr>
          <w:p w14:paraId="0C7E3BB8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A06FA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Should dopamine be used to prevent or treat septic AKI?</w:t>
            </w:r>
          </w:p>
        </w:tc>
        <w:tc>
          <w:tcPr>
            <w:tcW w:w="2268" w:type="dxa"/>
            <w:vAlign w:val="center"/>
          </w:tcPr>
          <w:p w14:paraId="61C5C461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  <w:tc>
          <w:tcPr>
            <w:tcW w:w="1951" w:type="dxa"/>
            <w:vAlign w:val="center"/>
          </w:tcPr>
          <w:p w14:paraId="7B0BA277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</w:tr>
      <w:tr w:rsidR="00EA63AA" w:rsidRPr="00365975" w14:paraId="29ACCF6A" w14:textId="77777777" w:rsidTr="00A80B41">
        <w:tc>
          <w:tcPr>
            <w:tcW w:w="1070" w:type="dxa"/>
            <w:vAlign w:val="center"/>
          </w:tcPr>
          <w:p w14:paraId="1632CF1C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11-5-2</w:t>
            </w:r>
          </w:p>
        </w:tc>
        <w:tc>
          <w:tcPr>
            <w:tcW w:w="7567" w:type="dxa"/>
            <w:vAlign w:val="center"/>
          </w:tcPr>
          <w:p w14:paraId="36402D8E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A06FA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Should RRT be initiated early for septic AKI (Stage 3 vs. absolute indications)</w:t>
            </w:r>
          </w:p>
        </w:tc>
        <w:tc>
          <w:tcPr>
            <w:tcW w:w="2268" w:type="dxa"/>
            <w:vAlign w:val="center"/>
          </w:tcPr>
          <w:p w14:paraId="572065E5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  <w:tc>
          <w:tcPr>
            <w:tcW w:w="1951" w:type="dxa"/>
            <w:vAlign w:val="center"/>
          </w:tcPr>
          <w:p w14:paraId="10F1DCB5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low</w:t>
            </w:r>
          </w:p>
        </w:tc>
      </w:tr>
      <w:tr w:rsidR="00EA63AA" w:rsidRPr="00365975" w14:paraId="5A1AC66A" w14:textId="77777777" w:rsidTr="00A80B41">
        <w:tc>
          <w:tcPr>
            <w:tcW w:w="1070" w:type="dxa"/>
            <w:vAlign w:val="center"/>
          </w:tcPr>
          <w:p w14:paraId="659DF02B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11-6</w:t>
            </w:r>
          </w:p>
        </w:tc>
        <w:tc>
          <w:tcPr>
            <w:tcW w:w="7567" w:type="dxa"/>
            <w:vAlign w:val="center"/>
          </w:tcPr>
          <w:p w14:paraId="77139994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A06FA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Should a large RRT dose be delivered for septic AKI?</w:t>
            </w:r>
          </w:p>
        </w:tc>
        <w:tc>
          <w:tcPr>
            <w:tcW w:w="2268" w:type="dxa"/>
            <w:vAlign w:val="center"/>
          </w:tcPr>
          <w:p w14:paraId="45F7BB8D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low</w:t>
            </w:r>
          </w:p>
        </w:tc>
        <w:tc>
          <w:tcPr>
            <w:tcW w:w="1951" w:type="dxa"/>
            <w:vAlign w:val="center"/>
          </w:tcPr>
          <w:p w14:paraId="4BE2E292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low</w:t>
            </w:r>
          </w:p>
        </w:tc>
      </w:tr>
      <w:tr w:rsidR="00EA63AA" w:rsidRPr="00365975" w14:paraId="3960B43C" w14:textId="77777777" w:rsidTr="00A80B41">
        <w:tc>
          <w:tcPr>
            <w:tcW w:w="1070" w:type="dxa"/>
            <w:vAlign w:val="center"/>
          </w:tcPr>
          <w:p w14:paraId="503AC65F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12-5</w:t>
            </w:r>
          </w:p>
        </w:tc>
        <w:tc>
          <w:tcPr>
            <w:tcW w:w="7567" w:type="dxa"/>
            <w:vAlign w:val="center"/>
          </w:tcPr>
          <w:p w14:paraId="79D8F9A2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A06FA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Should parenteral nutrition be combined with enteral nutrition in septic patients?</w:t>
            </w:r>
          </w:p>
        </w:tc>
        <w:tc>
          <w:tcPr>
            <w:tcW w:w="2268" w:type="dxa"/>
            <w:vAlign w:val="center"/>
          </w:tcPr>
          <w:p w14:paraId="13EDB4DD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  <w:tc>
          <w:tcPr>
            <w:tcW w:w="1951" w:type="dxa"/>
            <w:vAlign w:val="center"/>
          </w:tcPr>
          <w:p w14:paraId="21404340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low</w:t>
            </w:r>
          </w:p>
        </w:tc>
      </w:tr>
      <w:tr w:rsidR="00EA63AA" w:rsidRPr="00365975" w14:paraId="73AFB3F5" w14:textId="77777777" w:rsidTr="00A80B41">
        <w:tc>
          <w:tcPr>
            <w:tcW w:w="1070" w:type="dxa"/>
            <w:vAlign w:val="center"/>
          </w:tcPr>
          <w:p w14:paraId="4DEF2E4C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15-3</w:t>
            </w:r>
          </w:p>
        </w:tc>
        <w:tc>
          <w:tcPr>
            <w:tcW w:w="7567" w:type="dxa"/>
            <w:vAlign w:val="center"/>
          </w:tcPr>
          <w:p w14:paraId="6BD004E8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A06FA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Should antithrombin replacement therapy be administered in sepsis-associated DIC?</w:t>
            </w:r>
          </w:p>
        </w:tc>
        <w:tc>
          <w:tcPr>
            <w:tcW w:w="2268" w:type="dxa"/>
            <w:vAlign w:val="center"/>
          </w:tcPr>
          <w:p w14:paraId="26591651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low</w:t>
            </w:r>
          </w:p>
        </w:tc>
        <w:tc>
          <w:tcPr>
            <w:tcW w:w="1951" w:type="dxa"/>
            <w:vAlign w:val="center"/>
          </w:tcPr>
          <w:p w14:paraId="42B9F9C4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high</w:t>
            </w:r>
          </w:p>
        </w:tc>
      </w:tr>
      <w:tr w:rsidR="00EA63AA" w:rsidRPr="00365975" w14:paraId="6C251EFF" w14:textId="77777777" w:rsidTr="00A80B41">
        <w:tc>
          <w:tcPr>
            <w:tcW w:w="1070" w:type="dxa"/>
            <w:vAlign w:val="center"/>
          </w:tcPr>
          <w:p w14:paraId="3697C374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lastRenderedPageBreak/>
              <w:t>15-4</w:t>
            </w:r>
          </w:p>
        </w:tc>
        <w:tc>
          <w:tcPr>
            <w:tcW w:w="7567" w:type="dxa"/>
            <w:vAlign w:val="center"/>
          </w:tcPr>
          <w:p w14:paraId="7731FFF2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A06FA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Should heparin or heparin analogs be administered in sepsis-associated DIC?</w:t>
            </w:r>
          </w:p>
        </w:tc>
        <w:tc>
          <w:tcPr>
            <w:tcW w:w="2268" w:type="dxa"/>
            <w:vAlign w:val="center"/>
          </w:tcPr>
          <w:p w14:paraId="5434D9B4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  <w:tc>
          <w:tcPr>
            <w:tcW w:w="1951" w:type="dxa"/>
            <w:vAlign w:val="center"/>
          </w:tcPr>
          <w:p w14:paraId="0A90B2B9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low</w:t>
            </w:r>
          </w:p>
        </w:tc>
      </w:tr>
      <w:tr w:rsidR="00EA63AA" w:rsidRPr="00365975" w14:paraId="79EFCBD5" w14:textId="77777777" w:rsidTr="00A80B41">
        <w:tc>
          <w:tcPr>
            <w:tcW w:w="1070" w:type="dxa"/>
            <w:vAlign w:val="center"/>
          </w:tcPr>
          <w:p w14:paraId="67231AE4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15-5</w:t>
            </w:r>
          </w:p>
        </w:tc>
        <w:tc>
          <w:tcPr>
            <w:tcW w:w="7567" w:type="dxa"/>
            <w:vAlign w:val="center"/>
          </w:tcPr>
          <w:p w14:paraId="48CB7937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A06FA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Should recombinant thrombomodulin be administered to patients with sepsis-associated DIC?</w:t>
            </w:r>
          </w:p>
        </w:tc>
        <w:tc>
          <w:tcPr>
            <w:tcW w:w="2268" w:type="dxa"/>
            <w:vAlign w:val="center"/>
          </w:tcPr>
          <w:p w14:paraId="40F60B65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low</w:t>
            </w:r>
          </w:p>
        </w:tc>
        <w:tc>
          <w:tcPr>
            <w:tcW w:w="1951" w:type="dxa"/>
            <w:vAlign w:val="center"/>
          </w:tcPr>
          <w:p w14:paraId="3A20086B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moderate</w:t>
            </w:r>
          </w:p>
        </w:tc>
      </w:tr>
      <w:tr w:rsidR="00EA63AA" w:rsidRPr="00365975" w14:paraId="067CED31" w14:textId="77777777" w:rsidTr="00A80B41">
        <w:tc>
          <w:tcPr>
            <w:tcW w:w="1070" w:type="dxa"/>
            <w:vAlign w:val="center"/>
          </w:tcPr>
          <w:p w14:paraId="7F6B97D8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75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15-6</w:t>
            </w:r>
          </w:p>
        </w:tc>
        <w:tc>
          <w:tcPr>
            <w:tcW w:w="7567" w:type="dxa"/>
            <w:vAlign w:val="center"/>
          </w:tcPr>
          <w:p w14:paraId="5DAD4835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A06FA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Should protease inhibitors be administered to patients with sepsis-associated DIC?</w:t>
            </w:r>
          </w:p>
        </w:tc>
        <w:tc>
          <w:tcPr>
            <w:tcW w:w="2268" w:type="dxa"/>
            <w:vAlign w:val="center"/>
          </w:tcPr>
          <w:p w14:paraId="5BB7F424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  <w:tc>
          <w:tcPr>
            <w:tcW w:w="1951" w:type="dxa"/>
            <w:vAlign w:val="center"/>
          </w:tcPr>
          <w:p w14:paraId="3B1DEF95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</w:tr>
      <w:tr w:rsidR="00EA63AA" w:rsidRPr="00365975" w14:paraId="24A03773" w14:textId="77777777" w:rsidTr="00A80B41">
        <w:tc>
          <w:tcPr>
            <w:tcW w:w="1070" w:type="dxa"/>
            <w:tcBorders>
              <w:bottom w:val="single" w:sz="4" w:space="0" w:color="auto"/>
            </w:tcBorders>
            <w:vAlign w:val="center"/>
          </w:tcPr>
          <w:p w14:paraId="01A41DE9" w14:textId="77777777" w:rsidR="00EA63AA" w:rsidRPr="00365975" w:rsidRDefault="00EA63AA" w:rsidP="00A80B41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2-1</w:t>
            </w:r>
          </w:p>
        </w:tc>
        <w:tc>
          <w:tcPr>
            <w:tcW w:w="7567" w:type="dxa"/>
            <w:tcBorders>
              <w:bottom w:val="single" w:sz="4" w:space="0" w:color="auto"/>
            </w:tcBorders>
            <w:vAlign w:val="center"/>
          </w:tcPr>
          <w:p w14:paraId="101C3476" w14:textId="77777777" w:rsidR="00EA63AA" w:rsidRPr="00365975" w:rsidRDefault="00EA63AA" w:rsidP="00A80B41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A06FA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Should antiulcer drugs be administered to septic patients to prevent gastrointestinal bleeding?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25154AEB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low</w:t>
            </w:r>
          </w:p>
        </w:tc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14:paraId="3CE7D341" w14:textId="77777777" w:rsidR="00EA63AA" w:rsidRPr="00CA06FA" w:rsidRDefault="00EA63AA" w:rsidP="00A80B41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</w:pPr>
            <w:r w:rsidRPr="00930BB6">
              <w:rPr>
                <w:rFonts w:ascii="Times New Roman" w:eastAsia="Yu Gothic" w:hAnsi="Times New Roman" w:cs="Times New Roman"/>
                <w:color w:val="000000"/>
                <w:sz w:val="24"/>
                <w:szCs w:val="24"/>
              </w:rPr>
              <w:t>very low</w:t>
            </w:r>
          </w:p>
        </w:tc>
      </w:tr>
    </w:tbl>
    <w:p w14:paraId="57EB7BE7" w14:textId="076489B7" w:rsidR="00365975" w:rsidRPr="0052196F" w:rsidRDefault="00DF33BE" w:rsidP="00965833">
      <w:pPr>
        <w:spacing w:line="480" w:lineRule="auto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 w:hint="eastAsia"/>
          <w:sz w:val="24"/>
          <w:szCs w:val="28"/>
        </w:rPr>
        <w:t>C</w:t>
      </w:r>
      <w:r>
        <w:rPr>
          <w:rFonts w:ascii="Times New Roman" w:hAnsi="Times New Roman" w:cs="Times New Roman"/>
          <w:sz w:val="24"/>
          <w:szCs w:val="28"/>
        </w:rPr>
        <w:t>oE</w:t>
      </w:r>
      <w:proofErr w:type="spellEnd"/>
      <w:r>
        <w:rPr>
          <w:rFonts w:ascii="Times New Roman" w:hAnsi="Times New Roman" w:cs="Times New Roman"/>
          <w:sz w:val="24"/>
          <w:szCs w:val="28"/>
        </w:rPr>
        <w:t>, certainty of evidence; AKI, acute kidney insufficiency; RRT, renal replacement therapy; DIC, disseminated intravascular coagulation.</w:t>
      </w:r>
    </w:p>
    <w:sectPr w:rsidR="00365975" w:rsidRPr="0052196F" w:rsidSect="00EA63AA">
      <w:pgSz w:w="16838" w:h="11906" w:orient="landscape" w:code="9"/>
      <w:pgMar w:top="1701" w:right="1701" w:bottom="1701" w:left="1985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D0F8C" w14:textId="77777777" w:rsidR="0089164E" w:rsidRDefault="0089164E" w:rsidP="00ED2FE4">
      <w:r>
        <w:separator/>
      </w:r>
    </w:p>
  </w:endnote>
  <w:endnote w:type="continuationSeparator" w:id="0">
    <w:p w14:paraId="791ED62E" w14:textId="77777777" w:rsidR="0089164E" w:rsidRDefault="0089164E" w:rsidP="00ED2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00ABE" w14:textId="77777777" w:rsidR="0089164E" w:rsidRDefault="0089164E" w:rsidP="00ED2FE4">
      <w:r>
        <w:separator/>
      </w:r>
    </w:p>
  </w:footnote>
  <w:footnote w:type="continuationSeparator" w:id="0">
    <w:p w14:paraId="7CA6EF4D" w14:textId="77777777" w:rsidR="0089164E" w:rsidRDefault="0089164E" w:rsidP="00ED2F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B44"/>
    <w:rsid w:val="00012FE8"/>
    <w:rsid w:val="001B67E0"/>
    <w:rsid w:val="00203845"/>
    <w:rsid w:val="002F6C25"/>
    <w:rsid w:val="00365975"/>
    <w:rsid w:val="0052196F"/>
    <w:rsid w:val="00657B44"/>
    <w:rsid w:val="0089164E"/>
    <w:rsid w:val="00911B46"/>
    <w:rsid w:val="00965833"/>
    <w:rsid w:val="009863A9"/>
    <w:rsid w:val="00996B76"/>
    <w:rsid w:val="00A43D52"/>
    <w:rsid w:val="00B225D2"/>
    <w:rsid w:val="00C16548"/>
    <w:rsid w:val="00CA06FA"/>
    <w:rsid w:val="00CC3AF3"/>
    <w:rsid w:val="00D436AC"/>
    <w:rsid w:val="00DE0870"/>
    <w:rsid w:val="00DF33BE"/>
    <w:rsid w:val="00EA63AA"/>
    <w:rsid w:val="00ED2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1B8022E"/>
  <w15:chartTrackingRefBased/>
  <w15:docId w15:val="{AEA6DE79-5928-413E-AE78-64BE0DCB7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2FE4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ED2FE4"/>
  </w:style>
  <w:style w:type="paragraph" w:styleId="Footer">
    <w:name w:val="footer"/>
    <w:basedOn w:val="Normal"/>
    <w:link w:val="FooterChar"/>
    <w:uiPriority w:val="99"/>
    <w:unhideWhenUsed/>
    <w:rsid w:val="00ED2FE4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ED2FE4"/>
  </w:style>
  <w:style w:type="table" w:styleId="TableGrid">
    <w:name w:val="Table Grid"/>
    <w:basedOn w:val="TableNormal"/>
    <w:uiPriority w:val="39"/>
    <w:rsid w:val="00365975"/>
    <w:rPr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EA63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7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Takero Terayama</dc:creator>
  <cp:keywords/>
  <dc:description/>
  <cp:lastModifiedBy>Victor,Maria Flora</cp:lastModifiedBy>
  <cp:revision>3</cp:revision>
  <dcterms:created xsi:type="dcterms:W3CDTF">2023-07-05T02:42:00Z</dcterms:created>
  <dcterms:modified xsi:type="dcterms:W3CDTF">2023-07-05T02:42:00Z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732377ad0c6d44018b8bc91f382d958b565ca4fbc8347f1463272a9197e77921</vt:lpwstr>
  </property>
</Properties>
</file>