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124B61" w14:textId="660E7251" w:rsidR="00997FF6" w:rsidRPr="005D02E7" w:rsidRDefault="00997FF6" w:rsidP="00997FF6">
      <w:pPr>
        <w:rPr>
          <w:rFonts w:ascii="Times New Roman" w:hAnsi="Times New Roman" w:cs="Times New Roman"/>
          <w:lang w:val="en-GB"/>
        </w:rPr>
      </w:pPr>
      <w:r w:rsidRPr="005D02E7">
        <w:rPr>
          <w:rFonts w:ascii="Times New Roman" w:hAnsi="Times New Roman" w:cs="Times New Roman"/>
          <w:lang w:val="en-US"/>
        </w:rPr>
        <w:t xml:space="preserve">Supplementary </w:t>
      </w:r>
      <w:r w:rsidR="00FF35AF">
        <w:rPr>
          <w:rFonts w:ascii="Times New Roman" w:hAnsi="Times New Roman" w:cs="Times New Roman"/>
          <w:lang w:val="en-US"/>
        </w:rPr>
        <w:t>figure</w:t>
      </w:r>
      <w:r w:rsidRPr="005D02E7">
        <w:rPr>
          <w:rFonts w:ascii="Times New Roman" w:hAnsi="Times New Roman" w:cs="Times New Roman"/>
          <w:lang w:val="en-US"/>
        </w:rPr>
        <w:t xml:space="preserve"> </w:t>
      </w:r>
      <w:r w:rsidR="00FF35AF">
        <w:rPr>
          <w:rFonts w:ascii="Times New Roman" w:hAnsi="Times New Roman" w:cs="Times New Roman"/>
          <w:lang w:val="en-US"/>
        </w:rPr>
        <w:t>1.</w:t>
      </w:r>
      <w:r w:rsidRPr="005D02E7">
        <w:rPr>
          <w:rFonts w:ascii="Times New Roman" w:hAnsi="Times New Roman" w:cs="Times New Roman"/>
          <w:lang w:val="en-US"/>
        </w:rPr>
        <w:t xml:space="preserve"> AML </w:t>
      </w:r>
      <w:proofErr w:type="gramStart"/>
      <w:r w:rsidRPr="005D02E7">
        <w:rPr>
          <w:rFonts w:ascii="Times New Roman" w:hAnsi="Times New Roman" w:cs="Times New Roman"/>
          <w:lang w:val="en-US"/>
        </w:rPr>
        <w:t>patients</w:t>
      </w:r>
      <w:proofErr w:type="gramEnd"/>
      <w:r w:rsidRPr="005D02E7">
        <w:rPr>
          <w:rFonts w:ascii="Times New Roman" w:hAnsi="Times New Roman" w:cs="Times New Roman"/>
          <w:lang w:val="en-US"/>
        </w:rPr>
        <w:t xml:space="preserve"> </w:t>
      </w:r>
      <w:r w:rsidRPr="005D02E7">
        <w:rPr>
          <w:rFonts w:ascii="Times New Roman" w:hAnsi="Times New Roman" w:cs="Times New Roman"/>
          <w:lang w:val="en"/>
        </w:rPr>
        <w:t xml:space="preserve">consolidation phases </w:t>
      </w:r>
      <w:r w:rsidRPr="005D02E7">
        <w:rPr>
          <w:rFonts w:ascii="Times New Roman" w:hAnsi="Times New Roman" w:cs="Times New Roman"/>
          <w:lang w:val="en-GB"/>
        </w:rPr>
        <w:t>depending on treatment</w:t>
      </w:r>
    </w:p>
    <w:p w14:paraId="2AE2C00D" w14:textId="77777777" w:rsidR="00997FF6" w:rsidRPr="005D02E7" w:rsidRDefault="00997FF6" w:rsidP="00997FF6">
      <w:pPr>
        <w:rPr>
          <w:rFonts w:ascii="Times New Roman" w:hAnsi="Times New Roman" w:cs="Times New Roman"/>
          <w:lang w:val="en-US"/>
        </w:rPr>
      </w:pPr>
      <w:r w:rsidRPr="005D02E7">
        <w:rPr>
          <w:rFonts w:ascii="Times New Roman" w:hAnsi="Times New Roman" w:cs="Times New Roman"/>
          <w:noProof/>
        </w:rPr>
        <w:drawing>
          <wp:anchor distT="0" distB="0" distL="114300" distR="114300" simplePos="0" relativeHeight="251663360" behindDoc="0" locked="0" layoutInCell="1" allowOverlap="1" wp14:anchorId="57EE7748" wp14:editId="7262E6B6">
            <wp:simplePos x="0" y="0"/>
            <wp:positionH relativeFrom="column">
              <wp:posOffset>65405</wp:posOffset>
            </wp:positionH>
            <wp:positionV relativeFrom="paragraph">
              <wp:posOffset>82550</wp:posOffset>
            </wp:positionV>
            <wp:extent cx="5232400" cy="4038600"/>
            <wp:effectExtent l="0" t="0" r="635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2400" cy="403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1DC69" w14:textId="77777777" w:rsidR="00997FF6" w:rsidRDefault="00997FF6">
      <w:pPr>
        <w:rPr>
          <w:rFonts w:ascii="Times New Roman" w:hAnsi="Times New Roman" w:cs="Times New Roman"/>
          <w:lang w:val="en-US"/>
        </w:rPr>
      </w:pPr>
    </w:p>
    <w:p w14:paraId="6436F356" w14:textId="77777777" w:rsidR="00997FF6" w:rsidRDefault="00997FF6">
      <w:pPr>
        <w:rPr>
          <w:rFonts w:ascii="Times New Roman" w:hAnsi="Times New Roman" w:cs="Times New Roman"/>
          <w:lang w:val="en-US"/>
        </w:rPr>
      </w:pPr>
      <w:r>
        <w:rPr>
          <w:rFonts w:ascii="Times New Roman" w:hAnsi="Times New Roman" w:cs="Times New Roman"/>
          <w:lang w:val="en-US"/>
        </w:rPr>
        <w:br w:type="page"/>
      </w:r>
    </w:p>
    <w:p w14:paraId="415578D8" w14:textId="50F6E3D8" w:rsidR="004E7FF3" w:rsidRPr="005D02E7" w:rsidRDefault="00B91252">
      <w:pPr>
        <w:rPr>
          <w:rFonts w:ascii="Times New Roman" w:hAnsi="Times New Roman" w:cs="Times New Roman"/>
          <w:lang w:val="en-US"/>
        </w:rPr>
      </w:pPr>
      <w:r w:rsidRPr="005D02E7">
        <w:rPr>
          <w:rFonts w:ascii="Times New Roman" w:hAnsi="Times New Roman" w:cs="Times New Roman"/>
          <w:lang w:val="en-US"/>
        </w:rPr>
        <w:lastRenderedPageBreak/>
        <w:t xml:space="preserve">Supplementary </w:t>
      </w:r>
      <w:r w:rsidR="00FF35AF">
        <w:rPr>
          <w:rFonts w:ascii="Times New Roman" w:hAnsi="Times New Roman" w:cs="Times New Roman"/>
          <w:lang w:val="en-US"/>
        </w:rPr>
        <w:t>methods</w:t>
      </w:r>
      <w:r w:rsidRPr="005D02E7">
        <w:rPr>
          <w:rFonts w:ascii="Times New Roman" w:hAnsi="Times New Roman" w:cs="Times New Roman"/>
          <w:lang w:val="en-US"/>
        </w:rPr>
        <w:t xml:space="preserve">. </w:t>
      </w:r>
      <w:r w:rsidRPr="005D02E7">
        <w:rPr>
          <w:rFonts w:ascii="Times New Roman" w:hAnsi="Times New Roman" w:cs="Times New Roman"/>
          <w:b/>
          <w:lang w:val="en-US"/>
        </w:rPr>
        <w:t>Detailed materials and methods</w:t>
      </w:r>
    </w:p>
    <w:p w14:paraId="01ACC50C" w14:textId="77777777" w:rsidR="00B91252" w:rsidRPr="005D02E7" w:rsidRDefault="00B91252" w:rsidP="00B91252">
      <w:pPr>
        <w:rPr>
          <w:rFonts w:ascii="Times New Roman" w:hAnsi="Times New Roman" w:cs="Times New Roman"/>
          <w:i/>
          <w:lang w:val="en-US"/>
        </w:rPr>
      </w:pPr>
      <w:r w:rsidRPr="005D02E7">
        <w:rPr>
          <w:rFonts w:ascii="Times New Roman" w:hAnsi="Times New Roman" w:cs="Times New Roman"/>
          <w:i/>
          <w:lang w:val="en-US"/>
        </w:rPr>
        <w:t>Study design and patients</w:t>
      </w:r>
    </w:p>
    <w:p w14:paraId="5C101B66" w14:textId="7AA4EF83" w:rsidR="00B91252" w:rsidRPr="005D02E7" w:rsidRDefault="00B91252" w:rsidP="00B91252">
      <w:pPr>
        <w:rPr>
          <w:rFonts w:ascii="Times New Roman" w:hAnsi="Times New Roman" w:cs="Times New Roman"/>
          <w:lang w:val="en-US"/>
        </w:rPr>
      </w:pPr>
      <w:r w:rsidRPr="005D02E7">
        <w:rPr>
          <w:rFonts w:ascii="Times New Roman" w:hAnsi="Times New Roman" w:cs="Times New Roman"/>
          <w:lang w:val="en-US"/>
        </w:rPr>
        <w:t>This retrospective study is based on the AML French Regional Registry (DATAML) for Toulouse and Bordeaux in France. For both younger and older cohorts, patients had newly diagnosed de novo or secondary AML according to the World Health Organization 2016 classification, excluding acute promyelocytic leukemia.</w:t>
      </w:r>
    </w:p>
    <w:p w14:paraId="70F8012E" w14:textId="703FA5AF" w:rsidR="00B91252" w:rsidRPr="005D02E7" w:rsidRDefault="00B91252" w:rsidP="00B91252">
      <w:pPr>
        <w:rPr>
          <w:rFonts w:ascii="Times New Roman" w:hAnsi="Times New Roman" w:cs="Times New Roman"/>
          <w:lang w:val="en-US"/>
        </w:rPr>
      </w:pPr>
      <w:r w:rsidRPr="005D02E7">
        <w:rPr>
          <w:rFonts w:ascii="Times New Roman" w:hAnsi="Times New Roman" w:cs="Times New Roman"/>
          <w:lang w:val="en-US"/>
        </w:rPr>
        <w:t>Younger patients were included in this study if they were between 18 and 60 years old, had received at least 1 cycle of HDAC as post-remission strategy between January 1, 2008 and June 30, 2017 in first CR or CR with incomplete hematological recovery (</w:t>
      </w:r>
      <w:proofErr w:type="spellStart"/>
      <w:r w:rsidRPr="005D02E7">
        <w:rPr>
          <w:rFonts w:ascii="Times New Roman" w:hAnsi="Times New Roman" w:cs="Times New Roman"/>
          <w:lang w:val="en-US"/>
        </w:rPr>
        <w:t>CRi</w:t>
      </w:r>
      <w:proofErr w:type="spellEnd"/>
      <w:r w:rsidRPr="005D02E7">
        <w:rPr>
          <w:rFonts w:ascii="Times New Roman" w:hAnsi="Times New Roman" w:cs="Times New Roman"/>
          <w:lang w:val="en-US"/>
        </w:rPr>
        <w:t>) after 1 course of intensive induction chemotherapy. Patients received 1 to 3 cycles of HDAC 3 g/m² every 12 hours for 3 days (18 g/m²) per 1 of 2 schedules: either HDAC-123 (3 g/m² every 12 hours, Days 1, 2, and 3) or HDAC-135 (3 g/m² every 12 hours, Days 1, 3, and 5) (</w:t>
      </w:r>
      <w:r w:rsidR="00343026" w:rsidRPr="005D02E7">
        <w:rPr>
          <w:rFonts w:ascii="Times New Roman" w:hAnsi="Times New Roman" w:cs="Times New Roman"/>
          <w:lang w:val="en-US"/>
        </w:rPr>
        <w:t>Supplementary file 3</w:t>
      </w:r>
      <w:r w:rsidRPr="005D02E7">
        <w:rPr>
          <w:rFonts w:ascii="Times New Roman" w:hAnsi="Times New Roman" w:cs="Times New Roman"/>
          <w:lang w:val="en-US"/>
        </w:rPr>
        <w:t>).</w:t>
      </w:r>
    </w:p>
    <w:p w14:paraId="75522C7B" w14:textId="1D32FC0B" w:rsidR="00B91252" w:rsidRPr="005D02E7" w:rsidRDefault="00B91252" w:rsidP="00B91252">
      <w:pPr>
        <w:rPr>
          <w:rFonts w:ascii="Times New Roman" w:hAnsi="Times New Roman" w:cs="Times New Roman"/>
          <w:lang w:val="en"/>
        </w:rPr>
      </w:pPr>
      <w:r w:rsidRPr="005D02E7">
        <w:rPr>
          <w:rFonts w:ascii="Times New Roman" w:hAnsi="Times New Roman" w:cs="Times New Roman"/>
          <w:lang w:val="en"/>
        </w:rPr>
        <w:t>Older patients were included in this study</w:t>
      </w:r>
      <w:r w:rsidRPr="005D02E7">
        <w:rPr>
          <w:rFonts w:ascii="Times New Roman" w:hAnsi="Times New Roman" w:cs="Times New Roman"/>
          <w:lang w:val="en-US"/>
        </w:rPr>
        <w:t xml:space="preserve"> if they were ≥ 60 years old, had received at least one cycle of chemotherapy as post-remission strategy between January 1, 2007 and May 31, 2017 in first CR or </w:t>
      </w:r>
      <w:proofErr w:type="spellStart"/>
      <w:r w:rsidRPr="005D02E7">
        <w:rPr>
          <w:rFonts w:ascii="Times New Roman" w:hAnsi="Times New Roman" w:cs="Times New Roman"/>
          <w:lang w:val="en-US"/>
        </w:rPr>
        <w:t>CRi</w:t>
      </w:r>
      <w:proofErr w:type="spellEnd"/>
      <w:r w:rsidRPr="005D02E7">
        <w:rPr>
          <w:rFonts w:ascii="Times New Roman" w:hAnsi="Times New Roman" w:cs="Times New Roman"/>
          <w:lang w:val="en-US"/>
        </w:rPr>
        <w:t xml:space="preserve"> after 1 course of intensive induction chemotherapy. Patients received post- remission schedule with one to three cycles of inpatient IDAC 1.5 g/m</w:t>
      </w:r>
      <w:r w:rsidRPr="005D02E7">
        <w:rPr>
          <w:rFonts w:ascii="Times New Roman" w:hAnsi="Times New Roman" w:cs="Times New Roman"/>
          <w:vertAlign w:val="superscript"/>
          <w:lang w:val="en-US"/>
        </w:rPr>
        <w:t>2</w:t>
      </w:r>
      <w:r w:rsidRPr="005D02E7">
        <w:rPr>
          <w:rFonts w:ascii="Times New Roman" w:hAnsi="Times New Roman" w:cs="Times New Roman"/>
          <w:lang w:val="en-US"/>
        </w:rPr>
        <w:t xml:space="preserve"> every 12 hours for 3 days (9 g/m</w:t>
      </w:r>
      <w:r w:rsidRPr="005D02E7">
        <w:rPr>
          <w:rFonts w:ascii="Times New Roman" w:hAnsi="Times New Roman" w:cs="Times New Roman"/>
          <w:vertAlign w:val="superscript"/>
          <w:lang w:val="en-US"/>
        </w:rPr>
        <w:t>2</w:t>
      </w:r>
      <w:r w:rsidRPr="005D02E7">
        <w:rPr>
          <w:rFonts w:ascii="Times New Roman" w:hAnsi="Times New Roman" w:cs="Times New Roman"/>
          <w:lang w:val="en-US"/>
        </w:rPr>
        <w:t>) which was referred to as the IDAC arm; or an outpatient schedule with six courses of idarubicin 8 mg/m²/day IV on Day 1 and cytarabine 50 mg/m²/12 hours/day subcutaneously on Days 1 to 5 which was referred to as the SDAC/a arm (</w:t>
      </w:r>
      <w:r w:rsidR="00343026" w:rsidRPr="005D02E7">
        <w:rPr>
          <w:rFonts w:ascii="Times New Roman" w:hAnsi="Times New Roman" w:cs="Times New Roman"/>
          <w:lang w:val="en-US"/>
        </w:rPr>
        <w:t>Supplementary file 3</w:t>
      </w:r>
      <w:r w:rsidRPr="005D02E7">
        <w:rPr>
          <w:rFonts w:ascii="Times New Roman" w:hAnsi="Times New Roman" w:cs="Times New Roman"/>
          <w:lang w:val="en-US"/>
        </w:rPr>
        <w:t>).</w:t>
      </w:r>
    </w:p>
    <w:p w14:paraId="6C8164BD" w14:textId="77777777" w:rsidR="00B91252" w:rsidRPr="005D02E7" w:rsidRDefault="00B91252" w:rsidP="00B91252">
      <w:pPr>
        <w:rPr>
          <w:rFonts w:ascii="Times New Roman" w:hAnsi="Times New Roman" w:cs="Times New Roman"/>
          <w:lang w:val="en-US"/>
        </w:rPr>
      </w:pPr>
      <w:r w:rsidRPr="005D02E7">
        <w:rPr>
          <w:rFonts w:ascii="Times New Roman" w:hAnsi="Times New Roman" w:cs="Times New Roman"/>
          <w:lang w:val="en-US"/>
        </w:rPr>
        <w:t>The study was conducted in accordance with the Declaration of Helsinki, allowing the collection of clinical data from the anonymized French Toulouse-Bordeaux DATAML Registry.</w:t>
      </w:r>
    </w:p>
    <w:p w14:paraId="3B02A2D1" w14:textId="77777777" w:rsidR="00B91252" w:rsidRPr="005D02E7" w:rsidRDefault="00B91252" w:rsidP="00B91252">
      <w:pPr>
        <w:rPr>
          <w:rFonts w:ascii="Times New Roman" w:hAnsi="Times New Roman" w:cs="Times New Roman"/>
          <w:i/>
          <w:lang w:val="en"/>
        </w:rPr>
      </w:pPr>
      <w:r w:rsidRPr="005D02E7">
        <w:rPr>
          <w:rFonts w:ascii="Times New Roman" w:hAnsi="Times New Roman" w:cs="Times New Roman"/>
          <w:i/>
          <w:lang w:val="en"/>
        </w:rPr>
        <w:t>Economic analysis</w:t>
      </w:r>
    </w:p>
    <w:p w14:paraId="6F2D0503" w14:textId="5675EB92" w:rsidR="00B91252" w:rsidRPr="005D02E7" w:rsidRDefault="00B91252" w:rsidP="00B91252">
      <w:pPr>
        <w:rPr>
          <w:rFonts w:ascii="Times New Roman" w:hAnsi="Times New Roman" w:cs="Times New Roman"/>
          <w:lang w:val="en-US"/>
        </w:rPr>
      </w:pPr>
      <w:r w:rsidRPr="005D02E7">
        <w:rPr>
          <w:rFonts w:ascii="Times New Roman" w:hAnsi="Times New Roman" w:cs="Times New Roman"/>
          <w:lang w:val="en"/>
        </w:rPr>
        <w:t xml:space="preserve">The economic analysis was </w:t>
      </w:r>
      <w:r w:rsidRPr="005D02E7">
        <w:rPr>
          <w:rFonts w:ascii="Times New Roman" w:hAnsi="Times New Roman" w:cs="Times New Roman"/>
          <w:lang w:val="en-GB"/>
        </w:rPr>
        <w:t xml:space="preserve">performed </w:t>
      </w:r>
      <w:r w:rsidRPr="005D02E7">
        <w:rPr>
          <w:rFonts w:ascii="Times New Roman" w:hAnsi="Times New Roman" w:cs="Times New Roman"/>
          <w:lang w:val="en"/>
        </w:rPr>
        <w:t xml:space="preserve">from the </w:t>
      </w:r>
      <w:r w:rsidRPr="005D02E7">
        <w:rPr>
          <w:rFonts w:ascii="Times New Roman" w:hAnsi="Times New Roman" w:cs="Times New Roman"/>
          <w:lang w:val="en-GB"/>
        </w:rPr>
        <w:t>French National Health Insurance</w:t>
      </w:r>
      <w:r w:rsidRPr="005D02E7">
        <w:rPr>
          <w:rFonts w:ascii="Times New Roman" w:hAnsi="Times New Roman" w:cs="Times New Roman"/>
          <w:lang w:val="en-US"/>
        </w:rPr>
        <w:t xml:space="preserve"> (FNHI)</w:t>
      </w:r>
      <w:r w:rsidRPr="005D02E7">
        <w:rPr>
          <w:rFonts w:ascii="Times New Roman" w:hAnsi="Times New Roman" w:cs="Times New Roman"/>
          <w:lang w:val="en-GB"/>
        </w:rPr>
        <w:t xml:space="preserve"> </w:t>
      </w:r>
      <w:r w:rsidRPr="005D02E7">
        <w:rPr>
          <w:rFonts w:ascii="Times New Roman" w:hAnsi="Times New Roman" w:cs="Times New Roman"/>
          <w:lang w:val="en-US"/>
        </w:rPr>
        <w:t xml:space="preserve">perspective </w:t>
      </w:r>
      <w:r w:rsidRPr="005D02E7">
        <w:rPr>
          <w:rFonts w:ascii="Times New Roman" w:hAnsi="Times New Roman" w:cs="Times New Roman"/>
          <w:lang w:val="en-GB"/>
        </w:rPr>
        <w:t>and focused on costs associated with inpatient stays</w:t>
      </w:r>
      <w:r w:rsidRPr="005D02E7">
        <w:rPr>
          <w:rFonts w:ascii="Times New Roman" w:hAnsi="Times New Roman" w:cs="Times New Roman"/>
          <w:lang w:val="en"/>
        </w:rPr>
        <w:t xml:space="preserve">. </w:t>
      </w:r>
      <w:r w:rsidRPr="005D02E7">
        <w:rPr>
          <w:rFonts w:ascii="Times New Roman" w:hAnsi="Times New Roman" w:cs="Times New Roman"/>
          <w:lang w:val="en-US"/>
        </w:rPr>
        <w:t xml:space="preserve">In France, public and private hospital fees are based on diagnosis-related group (DRG) tariffs to which extra charges can be added if applicable (i.e. </w:t>
      </w:r>
      <w:r w:rsidRPr="005D02E7">
        <w:rPr>
          <w:rFonts w:ascii="Times New Roman" w:hAnsi="Times New Roman" w:cs="Times New Roman"/>
          <w:lang w:val="en-GB"/>
        </w:rPr>
        <w:t>additional expensive medication</w:t>
      </w:r>
      <w:r w:rsidRPr="005D02E7">
        <w:rPr>
          <w:rFonts w:ascii="Times New Roman" w:hAnsi="Times New Roman" w:cs="Times New Roman"/>
          <w:lang w:val="en-US"/>
        </w:rPr>
        <w:t xml:space="preserve"> such as hospital-reserved drugs with special constraints, day prices for acute care, intensive care or monitoring unit stays…). DRG costs include medical and paramedical staff fees, structural costs and common drugs but do </w:t>
      </w:r>
      <w:r w:rsidRPr="005D02E7">
        <w:rPr>
          <w:rFonts w:ascii="Times New Roman" w:hAnsi="Times New Roman" w:cs="Times New Roman"/>
          <w:lang w:val="en"/>
        </w:rPr>
        <w:t>not allow access to these details</w:t>
      </w:r>
      <w:r w:rsidRPr="005D02E7">
        <w:rPr>
          <w:rFonts w:ascii="Times New Roman" w:hAnsi="Times New Roman" w:cs="Times New Roman"/>
          <w:lang w:val="en-US"/>
        </w:rPr>
        <w:t xml:space="preserve">. The French Health Insurance scheme, through DRG tariffs, fully reimburses the cost of the inpatient stay to the hospital except for the daily fee of 20 euros which remains the responsibility of patients. DRG </w:t>
      </w:r>
      <w:r w:rsidRPr="005D02E7">
        <w:rPr>
          <w:rFonts w:ascii="Times New Roman" w:hAnsi="Times New Roman" w:cs="Times New Roman"/>
          <w:lang w:val="en-GB"/>
        </w:rPr>
        <w:t xml:space="preserve">tariffs also include the price of medication not counted as additional expensive medicines. In our context, post-remission chemotherapy prices are included in DRG tariffs. Inpatient Discharge Hospital Databases were used which meant that </w:t>
      </w:r>
      <w:r w:rsidRPr="005D02E7">
        <w:rPr>
          <w:rFonts w:ascii="Times New Roman" w:hAnsi="Times New Roman" w:cs="Times New Roman"/>
          <w:lang w:val="en-US"/>
        </w:rPr>
        <w:t xml:space="preserve">only inpatient stays taking place at Toulouse and Bordeaux University Hospital were considered. </w:t>
      </w:r>
      <w:r w:rsidRPr="005D02E7">
        <w:rPr>
          <w:rFonts w:ascii="Times New Roman" w:hAnsi="Times New Roman" w:cs="Times New Roman"/>
          <w:lang w:val="en"/>
        </w:rPr>
        <w:t xml:space="preserve">Exact dates of consolidation cycles were available in the clinical database and allowed the correct identification of related inpatient stays. </w:t>
      </w:r>
      <w:proofErr w:type="spellStart"/>
      <w:r w:rsidRPr="005D02E7">
        <w:rPr>
          <w:rFonts w:ascii="Times New Roman" w:hAnsi="Times New Roman" w:cs="Times New Roman"/>
          <w:lang w:val="en"/>
        </w:rPr>
        <w:t>W</w:t>
      </w:r>
      <w:r w:rsidRPr="005D02E7">
        <w:rPr>
          <w:rFonts w:ascii="Times New Roman" w:hAnsi="Times New Roman" w:cs="Times New Roman"/>
          <w:lang w:val="en-US"/>
        </w:rPr>
        <w:t>e</w:t>
      </w:r>
      <w:proofErr w:type="spellEnd"/>
      <w:r w:rsidRPr="005D02E7">
        <w:rPr>
          <w:rFonts w:ascii="Times New Roman" w:hAnsi="Times New Roman" w:cs="Times New Roman"/>
          <w:lang w:val="en-US"/>
        </w:rPr>
        <w:t xml:space="preserve"> were not able to consider inpatient stays taking place </w:t>
      </w:r>
      <w:r w:rsidRPr="005D02E7">
        <w:rPr>
          <w:rFonts w:ascii="Times New Roman" w:hAnsi="Times New Roman" w:cs="Times New Roman"/>
          <w:lang w:val="en"/>
        </w:rPr>
        <w:t xml:space="preserve">in </w:t>
      </w:r>
      <w:r w:rsidRPr="005D02E7">
        <w:rPr>
          <w:rFonts w:ascii="Times New Roman" w:hAnsi="Times New Roman" w:cs="Times New Roman"/>
          <w:bCs/>
          <w:lang w:val="en-US"/>
        </w:rPr>
        <w:t>peripheral</w:t>
      </w:r>
      <w:r w:rsidRPr="005D02E7">
        <w:rPr>
          <w:rFonts w:ascii="Times New Roman" w:hAnsi="Times New Roman" w:cs="Times New Roman"/>
          <w:b/>
          <w:bCs/>
          <w:lang w:val="en-US"/>
        </w:rPr>
        <w:t xml:space="preserve"> </w:t>
      </w:r>
      <w:r w:rsidRPr="005D02E7">
        <w:rPr>
          <w:rFonts w:ascii="Times New Roman" w:hAnsi="Times New Roman" w:cs="Times New Roman"/>
          <w:lang w:val="en"/>
        </w:rPr>
        <w:t>hospitals. Therefore, only patients with consolidation cycles related to inpatient stays found in the Inpatient Database were considered in the analyses explaining disparities in the sample size in comparison with previously published studies.</w:t>
      </w:r>
    </w:p>
    <w:p w14:paraId="2D26432B" w14:textId="3A88011E" w:rsidR="00B91252" w:rsidRPr="005D02E7" w:rsidRDefault="00B91252" w:rsidP="00B91252">
      <w:pPr>
        <w:rPr>
          <w:rFonts w:ascii="Times New Roman" w:hAnsi="Times New Roman" w:cs="Times New Roman"/>
          <w:lang w:val="en"/>
        </w:rPr>
      </w:pPr>
      <w:r w:rsidRPr="005D02E7">
        <w:rPr>
          <w:rFonts w:ascii="Times New Roman" w:hAnsi="Times New Roman" w:cs="Times New Roman"/>
          <w:lang w:val="en"/>
        </w:rPr>
        <w:t xml:space="preserve">Consolidation phases were similarly defined for both young and older patients: from the date of </w:t>
      </w:r>
      <w:r w:rsidRPr="005D02E7">
        <w:rPr>
          <w:rFonts w:ascii="Times New Roman" w:hAnsi="Times New Roman" w:cs="Times New Roman"/>
          <w:lang w:val="en-US"/>
        </w:rPr>
        <w:t xml:space="preserve">inpatient stay associated with the </w:t>
      </w:r>
      <w:r w:rsidRPr="005D02E7">
        <w:rPr>
          <w:rFonts w:ascii="Times New Roman" w:hAnsi="Times New Roman" w:cs="Times New Roman"/>
          <w:lang w:val="en"/>
        </w:rPr>
        <w:t>first</w:t>
      </w:r>
      <w:r w:rsidRPr="005D02E7">
        <w:rPr>
          <w:rFonts w:ascii="Times New Roman" w:hAnsi="Times New Roman" w:cs="Times New Roman"/>
          <w:lang w:val="en-US"/>
        </w:rPr>
        <w:t xml:space="preserve"> cycle of consolidation to the date of the inpatient stay associated with the last cycle of consolidation plus 30 days (</w:t>
      </w:r>
      <w:r w:rsidR="00343026" w:rsidRPr="005D02E7">
        <w:rPr>
          <w:rFonts w:ascii="Times New Roman" w:hAnsi="Times New Roman" w:cs="Times New Roman"/>
          <w:lang w:val="en-US"/>
        </w:rPr>
        <w:t>Supplementary file 4</w:t>
      </w:r>
      <w:r w:rsidRPr="005D02E7">
        <w:rPr>
          <w:rFonts w:ascii="Times New Roman" w:hAnsi="Times New Roman" w:cs="Times New Roman"/>
          <w:lang w:val="en-US"/>
        </w:rPr>
        <w:t>). The 30 days were chosen to allow for aplasia and the need for re-</w:t>
      </w:r>
      <w:r w:rsidRPr="005D02E7">
        <w:rPr>
          <w:rFonts w:ascii="Times New Roman" w:hAnsi="Times New Roman" w:cs="Times New Roman"/>
          <w:lang w:val="en"/>
        </w:rPr>
        <w:t xml:space="preserve">hospitalization after the last </w:t>
      </w:r>
      <w:r w:rsidRPr="005D02E7">
        <w:rPr>
          <w:rFonts w:ascii="Times New Roman" w:hAnsi="Times New Roman" w:cs="Times New Roman"/>
          <w:lang w:val="en-US"/>
        </w:rPr>
        <w:t xml:space="preserve">cycle of consolidation </w:t>
      </w:r>
      <w:r w:rsidRPr="005D02E7">
        <w:rPr>
          <w:rFonts w:ascii="Times New Roman" w:hAnsi="Times New Roman" w:cs="Times New Roman"/>
          <w:lang w:val="en"/>
        </w:rPr>
        <w:t xml:space="preserve">as well as to avoid taking into account </w:t>
      </w:r>
      <w:r w:rsidRPr="005D02E7">
        <w:rPr>
          <w:rFonts w:ascii="Times New Roman" w:hAnsi="Times New Roman" w:cs="Times New Roman"/>
          <w:lang w:val="en-US"/>
        </w:rPr>
        <w:t xml:space="preserve">Allo-HSCT </w:t>
      </w:r>
      <w:r w:rsidRPr="005D02E7">
        <w:rPr>
          <w:rFonts w:ascii="Times New Roman" w:hAnsi="Times New Roman" w:cs="Times New Roman"/>
          <w:lang w:val="en"/>
        </w:rPr>
        <w:t>management which generally occurs after this period.</w:t>
      </w:r>
    </w:p>
    <w:p w14:paraId="2FEBA4DC" w14:textId="062A65A2" w:rsidR="00B91252" w:rsidRPr="005D02E7" w:rsidRDefault="00B91252" w:rsidP="00B91252">
      <w:pPr>
        <w:rPr>
          <w:rFonts w:ascii="Times New Roman" w:hAnsi="Times New Roman" w:cs="Times New Roman"/>
          <w:lang w:val="en"/>
        </w:rPr>
      </w:pPr>
      <w:r w:rsidRPr="005D02E7">
        <w:rPr>
          <w:rFonts w:ascii="Times New Roman" w:hAnsi="Times New Roman" w:cs="Times New Roman"/>
          <w:lang w:val="en-US"/>
        </w:rPr>
        <w:t xml:space="preserve">We have used the DRG tariffs directly available in the Inpatient Database ranging from 2008 to 2017 and  2007 to 2017 for younger and older patient respectively. Additionally, intensive care, continuous monitoring, acute care and expensive drug costs </w:t>
      </w:r>
      <w:r w:rsidRPr="005D02E7">
        <w:rPr>
          <w:rFonts w:ascii="Times New Roman" w:hAnsi="Times New Roman" w:cs="Times New Roman"/>
          <w:lang w:val="en"/>
        </w:rPr>
        <w:t>were taken into account.</w:t>
      </w:r>
      <w:r w:rsidRPr="005D02E7">
        <w:rPr>
          <w:rFonts w:ascii="Times New Roman" w:hAnsi="Times New Roman" w:cs="Times New Roman"/>
          <w:lang w:val="en-US"/>
        </w:rPr>
        <w:t xml:space="preserve"> </w:t>
      </w:r>
      <w:bookmarkStart w:id="0" w:name="_Hlk135639663"/>
      <w:r w:rsidRPr="005D02E7">
        <w:rPr>
          <w:rFonts w:ascii="Times New Roman" w:hAnsi="Times New Roman" w:cs="Times New Roman"/>
          <w:lang w:val="en-US"/>
        </w:rPr>
        <w:t xml:space="preserve">Costs were inflated to €2020 </w:t>
      </w:r>
      <w:r w:rsidRPr="005D02E7">
        <w:rPr>
          <w:rFonts w:ascii="Times New Roman" w:hAnsi="Times New Roman" w:cs="Times New Roman"/>
          <w:lang w:val="en-US"/>
        </w:rPr>
        <w:lastRenderedPageBreak/>
        <w:t xml:space="preserve">using French annual consumer price indices to take into account inflation from one year to the next in order to be comparable with the literature. </w:t>
      </w:r>
      <w:bookmarkEnd w:id="0"/>
    </w:p>
    <w:p w14:paraId="7E205666" w14:textId="1954DDAD" w:rsidR="00B91252" w:rsidRPr="005D02E7" w:rsidRDefault="00B91252" w:rsidP="00B91252">
      <w:pPr>
        <w:rPr>
          <w:rFonts w:ascii="Times New Roman" w:hAnsi="Times New Roman" w:cs="Times New Roman"/>
          <w:lang w:val="en-US"/>
        </w:rPr>
      </w:pPr>
      <w:r w:rsidRPr="005D02E7">
        <w:rPr>
          <w:rFonts w:ascii="Times New Roman" w:hAnsi="Times New Roman" w:cs="Times New Roman"/>
          <w:lang w:val="en-US"/>
        </w:rPr>
        <w:t>In addition to the inpatient stay costs related to management, the total number of inpatient stays and the total length of stay in days were assessed. In this context, ambulatory inpatient care counts as one inpatient stay but zero hospital day. Cytogenetic risk classification was defined according to the UK MRC classification and comorbidity index was defined according to the hematopoietic cell transplantation specific comorbidity index.</w:t>
      </w:r>
    </w:p>
    <w:p w14:paraId="399F7606" w14:textId="77777777" w:rsidR="00B91252" w:rsidRPr="005D02E7" w:rsidRDefault="00B91252" w:rsidP="00B91252">
      <w:pPr>
        <w:rPr>
          <w:rFonts w:ascii="Times New Roman" w:hAnsi="Times New Roman" w:cs="Times New Roman"/>
          <w:i/>
          <w:lang w:val="en-US"/>
        </w:rPr>
      </w:pPr>
      <w:r w:rsidRPr="005D02E7">
        <w:rPr>
          <w:rFonts w:ascii="Times New Roman" w:hAnsi="Times New Roman" w:cs="Times New Roman"/>
          <w:i/>
          <w:lang w:val="en-US"/>
        </w:rPr>
        <w:t>Statistical analyses</w:t>
      </w:r>
      <w:r w:rsidRPr="005D02E7">
        <w:rPr>
          <w:rFonts w:ascii="Times New Roman" w:hAnsi="Times New Roman" w:cs="Times New Roman"/>
          <w:lang w:val="en-US"/>
        </w:rPr>
        <w:t xml:space="preserve"> </w:t>
      </w:r>
    </w:p>
    <w:p w14:paraId="357F9E78" w14:textId="54CB3560" w:rsidR="00B91252" w:rsidRPr="005D02E7" w:rsidRDefault="00B91252" w:rsidP="00B91252">
      <w:pPr>
        <w:rPr>
          <w:rFonts w:ascii="Times New Roman" w:hAnsi="Times New Roman" w:cs="Times New Roman"/>
          <w:lang w:val="en-US"/>
        </w:rPr>
      </w:pPr>
      <w:r w:rsidRPr="005D02E7">
        <w:rPr>
          <w:rFonts w:ascii="Times New Roman" w:hAnsi="Times New Roman" w:cs="Times New Roman"/>
          <w:lang w:val="en-US"/>
        </w:rPr>
        <w:t>Descriptive statistics were implemented to summarize the data using mean ± standard deviation or occurrence with percentage. Student or Fisher</w:t>
      </w:r>
      <w:r w:rsidR="00113F4B">
        <w:rPr>
          <w:rFonts w:ascii="Times New Roman" w:hAnsi="Times New Roman" w:cs="Times New Roman"/>
          <w:lang w:val="en-US"/>
        </w:rPr>
        <w:t xml:space="preserve"> </w:t>
      </w:r>
      <w:r w:rsidR="00113F4B" w:rsidRPr="00113F4B">
        <w:rPr>
          <w:rFonts w:ascii="Times New Roman" w:hAnsi="Times New Roman" w:cs="Times New Roman"/>
          <w:lang w:val="en-US"/>
        </w:rPr>
        <w:t>two-sided</w:t>
      </w:r>
      <w:r w:rsidRPr="005D02E7">
        <w:rPr>
          <w:rFonts w:ascii="Times New Roman" w:hAnsi="Times New Roman" w:cs="Times New Roman"/>
          <w:lang w:val="en-US"/>
        </w:rPr>
        <w:t xml:space="preserve"> tests were used to compare patient characteristics between group characteristics, HDAC-123 vs HDAC-135 and SDAC/vs IDAC respectively for younger and older patients. Similar analyses were carried out for the younger and older patients.</w:t>
      </w:r>
    </w:p>
    <w:p w14:paraId="7BEF36B5" w14:textId="1067B83F" w:rsidR="00B91252" w:rsidRPr="005D02E7" w:rsidRDefault="00B91252" w:rsidP="00B91252">
      <w:pPr>
        <w:rPr>
          <w:rFonts w:ascii="Times New Roman" w:hAnsi="Times New Roman" w:cs="Times New Roman"/>
          <w:lang w:val="en-US"/>
        </w:rPr>
      </w:pPr>
      <w:r w:rsidRPr="005D02E7">
        <w:rPr>
          <w:rFonts w:ascii="Times New Roman" w:hAnsi="Times New Roman" w:cs="Times New Roman"/>
          <w:lang w:val="en-US"/>
        </w:rPr>
        <w:t xml:space="preserve">Hospitalization cost management was described using mean and bias-corrected as well as accelerated bootstrap 95% confidence intervals (CI). Mann Whitney Wilcoxon non-parametric </w:t>
      </w:r>
      <w:r w:rsidR="00396EDA" w:rsidRPr="00113F4B">
        <w:rPr>
          <w:rFonts w:ascii="Times New Roman" w:hAnsi="Times New Roman" w:cs="Times New Roman"/>
          <w:lang w:val="en-US"/>
        </w:rPr>
        <w:t>two-sided</w:t>
      </w:r>
      <w:r w:rsidR="00396EDA" w:rsidRPr="005D02E7">
        <w:rPr>
          <w:rFonts w:ascii="Times New Roman" w:hAnsi="Times New Roman" w:cs="Times New Roman"/>
          <w:lang w:val="en-US"/>
        </w:rPr>
        <w:t xml:space="preserve"> </w:t>
      </w:r>
      <w:r w:rsidRPr="005D02E7">
        <w:rPr>
          <w:rFonts w:ascii="Times New Roman" w:hAnsi="Times New Roman" w:cs="Times New Roman"/>
          <w:lang w:val="en-US"/>
        </w:rPr>
        <w:t xml:space="preserve">tests were implemented to compare costs between groups. </w:t>
      </w:r>
      <w:bookmarkStart w:id="1" w:name="_GoBack"/>
      <w:bookmarkEnd w:id="1"/>
    </w:p>
    <w:p w14:paraId="2312CB25" w14:textId="270E2547" w:rsidR="00B91252" w:rsidRPr="005D02E7" w:rsidRDefault="00B91252" w:rsidP="00B91252">
      <w:pPr>
        <w:rPr>
          <w:rFonts w:ascii="Times New Roman" w:hAnsi="Times New Roman" w:cs="Times New Roman"/>
          <w:lang w:val="en-US"/>
        </w:rPr>
      </w:pPr>
      <w:r w:rsidRPr="005D02E7">
        <w:rPr>
          <w:rFonts w:ascii="Times New Roman" w:hAnsi="Times New Roman" w:cs="Times New Roman"/>
          <w:lang w:val="en-US"/>
        </w:rPr>
        <w:t xml:space="preserve">Generalized estimating equation models with Gamma distribution and log link were implemented to adjust the cost differences between groups of post-remission treatments. Age, gender, number of cycles of consolidation, </w:t>
      </w:r>
      <w:r w:rsidR="00DC0C7F" w:rsidRPr="005D02E7">
        <w:rPr>
          <w:rFonts w:ascii="Times New Roman" w:hAnsi="Times New Roman" w:cs="Times New Roman"/>
          <w:lang w:val="en-US"/>
        </w:rPr>
        <w:t xml:space="preserve">if patient </w:t>
      </w:r>
      <w:bookmarkStart w:id="2" w:name="_Hlk135645870"/>
      <w:r w:rsidR="00DC0C7F" w:rsidRPr="005D02E7">
        <w:rPr>
          <w:rFonts w:ascii="Times New Roman" w:hAnsi="Times New Roman" w:cs="Times New Roman"/>
          <w:lang w:val="en-US"/>
        </w:rPr>
        <w:t>reached the end of period considered</w:t>
      </w:r>
      <w:bookmarkEnd w:id="2"/>
      <w:r w:rsidR="00DC0C7F" w:rsidRPr="005D02E7">
        <w:rPr>
          <w:rFonts w:ascii="Times New Roman" w:hAnsi="Times New Roman" w:cs="Times New Roman"/>
          <w:lang w:val="en-US"/>
        </w:rPr>
        <w:t xml:space="preserve"> without disease progression </w:t>
      </w:r>
      <w:r w:rsidRPr="005D02E7">
        <w:rPr>
          <w:rFonts w:ascii="Times New Roman" w:hAnsi="Times New Roman" w:cs="Times New Roman"/>
          <w:lang w:val="en-US"/>
        </w:rPr>
        <w:t xml:space="preserve">(DFS) and allograft within the period were used as adjustment variables. </w:t>
      </w:r>
      <w:r w:rsidRPr="005D02E7">
        <w:rPr>
          <w:rFonts w:ascii="Times New Roman" w:hAnsi="Times New Roman" w:cs="Times New Roman"/>
          <w:lang w:val="en"/>
        </w:rPr>
        <w:t xml:space="preserve">The </w:t>
      </w:r>
      <w:r w:rsidR="00164743" w:rsidRPr="005D02E7">
        <w:rPr>
          <w:rFonts w:ascii="Times New Roman" w:hAnsi="Times New Roman" w:cs="Times New Roman"/>
          <w:lang w:val="en-US"/>
        </w:rPr>
        <w:t>Charlson Comorbidities Index</w:t>
      </w:r>
      <w:r w:rsidR="00164743" w:rsidRPr="005D02E7">
        <w:rPr>
          <w:rFonts w:ascii="Times New Roman" w:hAnsi="Times New Roman" w:cs="Times New Roman"/>
          <w:lang w:val="en"/>
        </w:rPr>
        <w:t xml:space="preserve"> (CCI) </w:t>
      </w:r>
      <w:r w:rsidRPr="005D02E7">
        <w:rPr>
          <w:rFonts w:ascii="Times New Roman" w:hAnsi="Times New Roman" w:cs="Times New Roman"/>
          <w:lang w:val="en"/>
        </w:rPr>
        <w:t>was available for older patients but due to similar distributions and missing data, it was not considered in the models.</w:t>
      </w:r>
      <w:r w:rsidRPr="005D02E7">
        <w:rPr>
          <w:rFonts w:ascii="Times New Roman" w:hAnsi="Times New Roman" w:cs="Times New Roman"/>
          <w:lang w:val="en-US"/>
        </w:rPr>
        <w:t xml:space="preserve"> The number of consolidation cycles was only used in the HDAC-123 vs HDAC-135 comparison given SDAC requires more consolidation cycles than IDAC. </w:t>
      </w:r>
    </w:p>
    <w:p w14:paraId="23081AFE" w14:textId="77777777" w:rsidR="00B91252" w:rsidRPr="005D02E7" w:rsidRDefault="00B91252" w:rsidP="00B91252">
      <w:pPr>
        <w:rPr>
          <w:rFonts w:ascii="Times New Roman" w:hAnsi="Times New Roman" w:cs="Times New Roman"/>
          <w:lang w:val="en"/>
        </w:rPr>
      </w:pPr>
      <w:r w:rsidRPr="005D02E7">
        <w:rPr>
          <w:rFonts w:ascii="Times New Roman" w:hAnsi="Times New Roman" w:cs="Times New Roman"/>
          <w:lang w:val="en"/>
        </w:rPr>
        <w:t>Statistical analyses were implemented using the R software, version 4.0.3.</w:t>
      </w:r>
    </w:p>
    <w:p w14:paraId="09003FDE" w14:textId="77777777" w:rsidR="00B91252" w:rsidRPr="005D02E7" w:rsidRDefault="00B91252" w:rsidP="00B91252">
      <w:pPr>
        <w:rPr>
          <w:rFonts w:ascii="Times New Roman" w:hAnsi="Times New Roman" w:cs="Times New Roman"/>
          <w:b/>
          <w:bCs/>
          <w:iCs/>
          <w:lang w:val="en-US"/>
        </w:rPr>
      </w:pPr>
      <w:r w:rsidRPr="005D02E7">
        <w:rPr>
          <w:rFonts w:ascii="Times New Roman" w:hAnsi="Times New Roman" w:cs="Times New Roman"/>
          <w:b/>
          <w:bCs/>
          <w:iCs/>
          <w:lang w:val="en-US"/>
        </w:rPr>
        <w:t>Data Availability</w:t>
      </w:r>
    </w:p>
    <w:p w14:paraId="699EE6F6" w14:textId="5E1519A8" w:rsidR="00B91252" w:rsidRPr="005D02E7" w:rsidRDefault="00B91252" w:rsidP="00B91252">
      <w:pPr>
        <w:rPr>
          <w:rFonts w:ascii="Times New Roman" w:hAnsi="Times New Roman" w:cs="Times New Roman"/>
          <w:bCs/>
          <w:lang w:val="en-US"/>
        </w:rPr>
      </w:pPr>
      <w:r w:rsidRPr="005D02E7">
        <w:rPr>
          <w:rFonts w:ascii="Times New Roman" w:hAnsi="Times New Roman" w:cs="Times New Roman"/>
          <w:bCs/>
          <w:lang w:val="en-US"/>
        </w:rPr>
        <w:t>Due to the nature of this research, coming from claim database merged with registry, we cannot share individual’s data publicly. Upon acceptable request, we can investigate and share aggregate data (</w:t>
      </w:r>
      <w:r w:rsidRPr="005D02E7">
        <w:rPr>
          <w:rFonts w:ascii="Times New Roman" w:hAnsi="Times New Roman" w:cs="Times New Roman"/>
          <w:lang w:val="en-US"/>
        </w:rPr>
        <w:t>Send requests via e-mail to the corresponding author).</w:t>
      </w:r>
      <w:r w:rsidRPr="005D02E7">
        <w:rPr>
          <w:rFonts w:ascii="Times New Roman" w:hAnsi="Times New Roman" w:cs="Times New Roman"/>
          <w:bCs/>
          <w:lang w:val="en-US"/>
        </w:rPr>
        <w:t xml:space="preserve"> </w:t>
      </w:r>
    </w:p>
    <w:p w14:paraId="6A862AEE" w14:textId="3829D1B1" w:rsidR="0010250A" w:rsidRPr="005D02E7" w:rsidRDefault="0010250A" w:rsidP="00B91252">
      <w:pPr>
        <w:rPr>
          <w:rFonts w:ascii="Times New Roman" w:hAnsi="Times New Roman" w:cs="Times New Roman"/>
          <w:lang w:val="en-US"/>
        </w:rPr>
      </w:pPr>
    </w:p>
    <w:p w14:paraId="375E35FD" w14:textId="7A0E706C" w:rsidR="00E730BF" w:rsidRDefault="00E730BF">
      <w:pPr>
        <w:rPr>
          <w:rFonts w:ascii="Times New Roman" w:hAnsi="Times New Roman" w:cs="Times New Roman"/>
          <w:lang w:val="en-US"/>
        </w:rPr>
      </w:pPr>
      <w:r>
        <w:rPr>
          <w:rFonts w:ascii="Times New Roman" w:hAnsi="Times New Roman" w:cs="Times New Roman"/>
          <w:lang w:val="en-US"/>
        </w:rPr>
        <w:br w:type="page"/>
      </w:r>
    </w:p>
    <w:p w14:paraId="63566549" w14:textId="77777777" w:rsidR="00E730BF" w:rsidRPr="005D02E7" w:rsidRDefault="00E730BF" w:rsidP="00E730BF">
      <w:pPr>
        <w:rPr>
          <w:rFonts w:ascii="Times New Roman" w:hAnsi="Times New Roman" w:cs="Times New Roman"/>
          <w:lang w:val="en-US"/>
        </w:rPr>
      </w:pPr>
      <w:r w:rsidRPr="005D02E7">
        <w:rPr>
          <w:rFonts w:ascii="Times New Roman" w:hAnsi="Times New Roman" w:cs="Times New Roman"/>
          <w:lang w:val="en-US"/>
        </w:rPr>
        <w:lastRenderedPageBreak/>
        <w:t xml:space="preserve">Supplementary </w:t>
      </w:r>
      <w:r>
        <w:rPr>
          <w:rFonts w:ascii="Times New Roman" w:hAnsi="Times New Roman" w:cs="Times New Roman"/>
          <w:lang w:val="en-US"/>
        </w:rPr>
        <w:t>table</w:t>
      </w:r>
      <w:r w:rsidRPr="005D02E7">
        <w:rPr>
          <w:rFonts w:ascii="Times New Roman" w:hAnsi="Times New Roman" w:cs="Times New Roman"/>
          <w:lang w:val="en-US"/>
        </w:rPr>
        <w:t xml:space="preserve"> </w:t>
      </w:r>
      <w:r>
        <w:rPr>
          <w:rFonts w:ascii="Times New Roman" w:hAnsi="Times New Roman" w:cs="Times New Roman"/>
          <w:lang w:val="en-US"/>
        </w:rPr>
        <w:t>1</w:t>
      </w:r>
      <w:r w:rsidRPr="005D02E7">
        <w:rPr>
          <w:rFonts w:ascii="Times New Roman" w:hAnsi="Times New Roman" w:cs="Times New Roman"/>
          <w:lang w:val="en-US"/>
        </w:rPr>
        <w:t>. Unadjusted inpatient costs of younger and older AML populations according to post-remission treatment arms.</w:t>
      </w:r>
    </w:p>
    <w:tbl>
      <w:tblPr>
        <w:tblW w:w="10855" w:type="dxa"/>
        <w:tblInd w:w="-753" w:type="dxa"/>
        <w:tblCellMar>
          <w:left w:w="0" w:type="dxa"/>
          <w:right w:w="0" w:type="dxa"/>
        </w:tblCellMar>
        <w:tblLook w:val="0600" w:firstRow="0" w:lastRow="0" w:firstColumn="0" w:lastColumn="0" w:noHBand="1" w:noVBand="1"/>
      </w:tblPr>
      <w:tblGrid>
        <w:gridCol w:w="2497"/>
        <w:gridCol w:w="1564"/>
        <w:gridCol w:w="1662"/>
        <w:gridCol w:w="834"/>
        <w:gridCol w:w="1802"/>
        <w:gridCol w:w="1662"/>
        <w:gridCol w:w="834"/>
      </w:tblGrid>
      <w:tr w:rsidR="00E730BF" w:rsidRPr="005D02E7" w14:paraId="30589D99" w14:textId="77777777" w:rsidTr="004F5373">
        <w:trPr>
          <w:trHeight w:val="138"/>
        </w:trPr>
        <w:tc>
          <w:tcPr>
            <w:tcW w:w="2497" w:type="dxa"/>
            <w:tcBorders>
              <w:top w:val="single" w:sz="4" w:space="0" w:color="auto"/>
              <w:left w:val="nil"/>
              <w:bottom w:val="single" w:sz="4" w:space="0" w:color="auto"/>
              <w:right w:val="nil"/>
            </w:tcBorders>
            <w:shd w:val="clear" w:color="auto" w:fill="FFFFFF"/>
            <w:tcMar>
              <w:top w:w="15" w:type="dxa"/>
              <w:left w:w="15" w:type="dxa"/>
              <w:bottom w:w="0" w:type="dxa"/>
              <w:right w:w="15" w:type="dxa"/>
            </w:tcMar>
            <w:vAlign w:val="center"/>
          </w:tcPr>
          <w:p w14:paraId="04789669" w14:textId="77777777" w:rsidR="00E730BF" w:rsidRPr="005D02E7" w:rsidRDefault="00E730BF" w:rsidP="004F5373">
            <w:pPr>
              <w:spacing w:after="0"/>
              <w:rPr>
                <w:rFonts w:ascii="Times New Roman" w:hAnsi="Times New Roman" w:cs="Times New Roman"/>
                <w:lang w:val="en-US"/>
              </w:rPr>
            </w:pPr>
          </w:p>
        </w:tc>
        <w:tc>
          <w:tcPr>
            <w:tcW w:w="4060" w:type="dxa"/>
            <w:gridSpan w:val="3"/>
            <w:tcBorders>
              <w:top w:val="single" w:sz="4" w:space="0" w:color="auto"/>
              <w:left w:val="nil"/>
              <w:bottom w:val="single" w:sz="4" w:space="0" w:color="auto"/>
              <w:right w:val="dashSmallGap" w:sz="4" w:space="0" w:color="auto"/>
            </w:tcBorders>
            <w:shd w:val="clear" w:color="auto" w:fill="FFFFFF"/>
            <w:vAlign w:val="center"/>
          </w:tcPr>
          <w:p w14:paraId="212EFB69"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AML patients 18-60y</w:t>
            </w:r>
          </w:p>
        </w:tc>
        <w:tc>
          <w:tcPr>
            <w:tcW w:w="4297" w:type="dxa"/>
            <w:gridSpan w:val="3"/>
            <w:tcBorders>
              <w:top w:val="single" w:sz="4" w:space="0" w:color="auto"/>
              <w:left w:val="dashSmallGap" w:sz="4" w:space="0" w:color="auto"/>
              <w:bottom w:val="single" w:sz="4" w:space="0" w:color="auto"/>
              <w:right w:val="nil"/>
            </w:tcBorders>
            <w:shd w:val="clear" w:color="auto" w:fill="FFFFFF"/>
            <w:tcMar>
              <w:top w:w="15" w:type="dxa"/>
              <w:left w:w="15" w:type="dxa"/>
              <w:bottom w:w="0" w:type="dxa"/>
              <w:right w:w="15" w:type="dxa"/>
            </w:tcMar>
            <w:vAlign w:val="center"/>
          </w:tcPr>
          <w:p w14:paraId="226FA6A4"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AML patients &gt;60y</w:t>
            </w:r>
          </w:p>
        </w:tc>
      </w:tr>
      <w:tr w:rsidR="00E730BF" w:rsidRPr="005D02E7" w14:paraId="740CF762" w14:textId="77777777" w:rsidTr="004F5373">
        <w:trPr>
          <w:trHeight w:val="138"/>
        </w:trPr>
        <w:tc>
          <w:tcPr>
            <w:tcW w:w="2497" w:type="dxa"/>
            <w:vMerge w:val="restart"/>
            <w:tcBorders>
              <w:top w:val="single" w:sz="4" w:space="0" w:color="auto"/>
              <w:left w:val="nil"/>
              <w:bottom w:val="single" w:sz="8" w:space="0" w:color="000000"/>
              <w:right w:val="nil"/>
            </w:tcBorders>
            <w:shd w:val="clear" w:color="auto" w:fill="FFFFFF"/>
            <w:tcMar>
              <w:top w:w="15" w:type="dxa"/>
              <w:left w:w="15" w:type="dxa"/>
              <w:bottom w:w="0" w:type="dxa"/>
              <w:right w:w="15" w:type="dxa"/>
            </w:tcMar>
            <w:vAlign w:val="center"/>
            <w:hideMark/>
          </w:tcPr>
          <w:p w14:paraId="52A2BD04" w14:textId="77777777" w:rsidR="00E730BF" w:rsidRPr="005D02E7" w:rsidRDefault="00E730BF" w:rsidP="004F5373">
            <w:pPr>
              <w:rPr>
                <w:rFonts w:ascii="Times New Roman" w:hAnsi="Times New Roman" w:cs="Times New Roman"/>
                <w:lang w:val="en-US"/>
              </w:rPr>
            </w:pPr>
            <w:r w:rsidRPr="005D02E7">
              <w:rPr>
                <w:rFonts w:ascii="Times New Roman" w:hAnsi="Times New Roman" w:cs="Times New Roman"/>
                <w:lang w:val="en-US"/>
              </w:rPr>
              <w:t>Cost (€2020)</w:t>
            </w:r>
          </w:p>
        </w:tc>
        <w:tc>
          <w:tcPr>
            <w:tcW w:w="1564" w:type="dxa"/>
            <w:tcBorders>
              <w:top w:val="single" w:sz="4" w:space="0" w:color="auto"/>
              <w:left w:val="nil"/>
              <w:bottom w:val="dotted" w:sz="8" w:space="0" w:color="000000"/>
              <w:right w:val="nil"/>
            </w:tcBorders>
            <w:shd w:val="clear" w:color="auto" w:fill="FFFFFF"/>
            <w:vAlign w:val="center"/>
          </w:tcPr>
          <w:p w14:paraId="483A1267"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HDAC-123</w:t>
            </w:r>
          </w:p>
        </w:tc>
        <w:tc>
          <w:tcPr>
            <w:tcW w:w="1662" w:type="dxa"/>
            <w:tcBorders>
              <w:top w:val="single" w:sz="4" w:space="0" w:color="auto"/>
              <w:left w:val="nil"/>
              <w:bottom w:val="dotted" w:sz="8" w:space="0" w:color="000000"/>
              <w:right w:val="nil"/>
            </w:tcBorders>
            <w:shd w:val="clear" w:color="auto" w:fill="FFFFFF"/>
            <w:vAlign w:val="center"/>
          </w:tcPr>
          <w:p w14:paraId="76E0CBFC"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HDAC-135</w:t>
            </w:r>
          </w:p>
        </w:tc>
        <w:tc>
          <w:tcPr>
            <w:tcW w:w="832" w:type="dxa"/>
            <w:vMerge w:val="restart"/>
            <w:tcBorders>
              <w:top w:val="single" w:sz="4" w:space="0" w:color="auto"/>
              <w:left w:val="nil"/>
              <w:right w:val="dashSmallGap" w:sz="4" w:space="0" w:color="auto"/>
            </w:tcBorders>
            <w:shd w:val="clear" w:color="auto" w:fill="FFFFFF"/>
            <w:vAlign w:val="center"/>
          </w:tcPr>
          <w:p w14:paraId="28FE8932"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P-value</w:t>
            </w:r>
          </w:p>
        </w:tc>
        <w:tc>
          <w:tcPr>
            <w:tcW w:w="1802" w:type="dxa"/>
            <w:tcBorders>
              <w:top w:val="single" w:sz="4" w:space="0" w:color="auto"/>
              <w:left w:val="dashSmallGap" w:sz="4" w:space="0" w:color="auto"/>
              <w:bottom w:val="dotted" w:sz="8" w:space="0" w:color="000000"/>
              <w:right w:val="nil"/>
            </w:tcBorders>
            <w:shd w:val="clear" w:color="auto" w:fill="FFFFFF"/>
            <w:tcMar>
              <w:top w:w="15" w:type="dxa"/>
              <w:left w:w="15" w:type="dxa"/>
              <w:bottom w:w="0" w:type="dxa"/>
              <w:right w:w="15" w:type="dxa"/>
            </w:tcMar>
            <w:vAlign w:val="center"/>
            <w:hideMark/>
          </w:tcPr>
          <w:p w14:paraId="47E20660"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SDAC/a</w:t>
            </w:r>
          </w:p>
        </w:tc>
        <w:tc>
          <w:tcPr>
            <w:tcW w:w="1662" w:type="dxa"/>
            <w:tcBorders>
              <w:top w:val="single" w:sz="4" w:space="0" w:color="auto"/>
              <w:left w:val="nil"/>
              <w:bottom w:val="dotted" w:sz="8" w:space="0" w:color="000000"/>
              <w:right w:val="nil"/>
            </w:tcBorders>
            <w:shd w:val="clear" w:color="auto" w:fill="FFFFFF"/>
            <w:tcMar>
              <w:top w:w="15" w:type="dxa"/>
              <w:left w:w="15" w:type="dxa"/>
              <w:bottom w:w="0" w:type="dxa"/>
              <w:right w:w="15" w:type="dxa"/>
            </w:tcMar>
            <w:vAlign w:val="center"/>
            <w:hideMark/>
          </w:tcPr>
          <w:p w14:paraId="451B6817"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IDAC</w:t>
            </w:r>
          </w:p>
        </w:tc>
        <w:tc>
          <w:tcPr>
            <w:tcW w:w="832" w:type="dxa"/>
            <w:vMerge w:val="restart"/>
            <w:tcBorders>
              <w:top w:val="single" w:sz="4" w:space="0" w:color="auto"/>
              <w:left w:val="nil"/>
              <w:bottom w:val="single" w:sz="8" w:space="0" w:color="000000"/>
              <w:right w:val="nil"/>
            </w:tcBorders>
            <w:shd w:val="clear" w:color="auto" w:fill="FFFFFF"/>
            <w:tcMar>
              <w:top w:w="15" w:type="dxa"/>
              <w:left w:w="15" w:type="dxa"/>
              <w:bottom w:w="0" w:type="dxa"/>
              <w:right w:w="15" w:type="dxa"/>
            </w:tcMar>
            <w:vAlign w:val="center"/>
            <w:hideMark/>
          </w:tcPr>
          <w:p w14:paraId="477524AE"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P-value</w:t>
            </w:r>
          </w:p>
        </w:tc>
      </w:tr>
      <w:tr w:rsidR="00E730BF" w:rsidRPr="005D02E7" w14:paraId="07E559D7" w14:textId="77777777" w:rsidTr="004F5373">
        <w:trPr>
          <w:trHeight w:val="175"/>
        </w:trPr>
        <w:tc>
          <w:tcPr>
            <w:tcW w:w="0" w:type="auto"/>
            <w:vMerge/>
            <w:tcBorders>
              <w:top w:val="single" w:sz="18" w:space="0" w:color="000000"/>
              <w:left w:val="nil"/>
              <w:bottom w:val="single" w:sz="8" w:space="0" w:color="000000"/>
              <w:right w:val="nil"/>
            </w:tcBorders>
            <w:vAlign w:val="center"/>
            <w:hideMark/>
          </w:tcPr>
          <w:p w14:paraId="307B5214" w14:textId="77777777" w:rsidR="00E730BF" w:rsidRPr="005D02E7" w:rsidRDefault="00E730BF" w:rsidP="004F5373">
            <w:pPr>
              <w:rPr>
                <w:rFonts w:ascii="Times New Roman" w:hAnsi="Times New Roman" w:cs="Times New Roman"/>
                <w:lang w:val="en-US"/>
              </w:rPr>
            </w:pPr>
          </w:p>
        </w:tc>
        <w:tc>
          <w:tcPr>
            <w:tcW w:w="1564" w:type="dxa"/>
            <w:tcBorders>
              <w:top w:val="dotted" w:sz="8" w:space="0" w:color="000000"/>
              <w:left w:val="nil"/>
              <w:bottom w:val="single" w:sz="8" w:space="0" w:color="000000"/>
              <w:right w:val="nil"/>
            </w:tcBorders>
            <w:shd w:val="clear" w:color="auto" w:fill="FFFFFF"/>
            <w:vAlign w:val="center"/>
          </w:tcPr>
          <w:p w14:paraId="06089D44"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Mean </w:t>
            </w:r>
            <w:r w:rsidRPr="005D02E7">
              <w:rPr>
                <w:rFonts w:ascii="Times New Roman" w:hAnsi="Times New Roman" w:cs="Times New Roman"/>
                <w:lang w:val="en-US"/>
              </w:rPr>
              <w:br/>
              <w:t>[95% IC]</w:t>
            </w:r>
          </w:p>
        </w:tc>
        <w:tc>
          <w:tcPr>
            <w:tcW w:w="1662" w:type="dxa"/>
            <w:tcBorders>
              <w:top w:val="dotted" w:sz="8" w:space="0" w:color="000000"/>
              <w:left w:val="nil"/>
              <w:bottom w:val="single" w:sz="8" w:space="0" w:color="000000"/>
              <w:right w:val="nil"/>
            </w:tcBorders>
            <w:shd w:val="clear" w:color="auto" w:fill="FFFFFF"/>
            <w:vAlign w:val="center"/>
          </w:tcPr>
          <w:p w14:paraId="1385DE92"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Mean </w:t>
            </w:r>
            <w:r w:rsidRPr="005D02E7">
              <w:rPr>
                <w:rFonts w:ascii="Times New Roman" w:hAnsi="Times New Roman" w:cs="Times New Roman"/>
                <w:lang w:val="en-US"/>
              </w:rPr>
              <w:br/>
              <w:t>[95% IC]</w:t>
            </w:r>
          </w:p>
        </w:tc>
        <w:tc>
          <w:tcPr>
            <w:tcW w:w="832" w:type="dxa"/>
            <w:vMerge/>
            <w:tcBorders>
              <w:left w:val="nil"/>
              <w:bottom w:val="single" w:sz="8" w:space="0" w:color="000000"/>
              <w:right w:val="dashSmallGap" w:sz="4" w:space="0" w:color="auto"/>
            </w:tcBorders>
            <w:shd w:val="clear" w:color="auto" w:fill="FFFFFF"/>
            <w:vAlign w:val="center"/>
          </w:tcPr>
          <w:p w14:paraId="11B8489B" w14:textId="77777777" w:rsidR="00E730BF" w:rsidRPr="005D02E7" w:rsidRDefault="00E730BF" w:rsidP="004F5373">
            <w:pPr>
              <w:jc w:val="center"/>
              <w:rPr>
                <w:rFonts w:ascii="Times New Roman" w:hAnsi="Times New Roman" w:cs="Times New Roman"/>
                <w:lang w:val="en-US"/>
              </w:rPr>
            </w:pPr>
          </w:p>
        </w:tc>
        <w:tc>
          <w:tcPr>
            <w:tcW w:w="1802" w:type="dxa"/>
            <w:tcBorders>
              <w:top w:val="dotted" w:sz="8" w:space="0" w:color="000000"/>
              <w:left w:val="dashSmallGap" w:sz="4" w:space="0" w:color="auto"/>
              <w:bottom w:val="single" w:sz="8" w:space="0" w:color="000000"/>
              <w:right w:val="nil"/>
            </w:tcBorders>
            <w:shd w:val="clear" w:color="auto" w:fill="FFFFFF"/>
            <w:tcMar>
              <w:top w:w="15" w:type="dxa"/>
              <w:left w:w="15" w:type="dxa"/>
              <w:bottom w:w="0" w:type="dxa"/>
              <w:right w:w="15" w:type="dxa"/>
            </w:tcMar>
            <w:vAlign w:val="center"/>
            <w:hideMark/>
          </w:tcPr>
          <w:p w14:paraId="65C6134F"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Mean </w:t>
            </w:r>
            <w:r w:rsidRPr="005D02E7">
              <w:rPr>
                <w:rFonts w:ascii="Times New Roman" w:hAnsi="Times New Roman" w:cs="Times New Roman"/>
                <w:lang w:val="en-US"/>
              </w:rPr>
              <w:br/>
              <w:t>[95% IC]</w:t>
            </w:r>
          </w:p>
        </w:tc>
        <w:tc>
          <w:tcPr>
            <w:tcW w:w="1662" w:type="dxa"/>
            <w:tcBorders>
              <w:top w:val="dotted" w:sz="8" w:space="0" w:color="000000"/>
              <w:left w:val="nil"/>
              <w:bottom w:val="single" w:sz="8" w:space="0" w:color="000000"/>
              <w:right w:val="nil"/>
            </w:tcBorders>
            <w:shd w:val="clear" w:color="auto" w:fill="FFFFFF"/>
            <w:tcMar>
              <w:top w:w="15" w:type="dxa"/>
              <w:left w:w="15" w:type="dxa"/>
              <w:bottom w:w="0" w:type="dxa"/>
              <w:right w:w="15" w:type="dxa"/>
            </w:tcMar>
            <w:vAlign w:val="center"/>
            <w:hideMark/>
          </w:tcPr>
          <w:p w14:paraId="7ADFB5F5"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Mean </w:t>
            </w:r>
            <w:r w:rsidRPr="005D02E7">
              <w:rPr>
                <w:rFonts w:ascii="Times New Roman" w:hAnsi="Times New Roman" w:cs="Times New Roman"/>
                <w:lang w:val="en-US"/>
              </w:rPr>
              <w:br/>
              <w:t>[95% IC]</w:t>
            </w:r>
          </w:p>
        </w:tc>
        <w:tc>
          <w:tcPr>
            <w:tcW w:w="832" w:type="dxa"/>
            <w:vMerge/>
            <w:tcBorders>
              <w:top w:val="single" w:sz="18" w:space="0" w:color="000000"/>
              <w:left w:val="nil"/>
              <w:bottom w:val="single" w:sz="8" w:space="0" w:color="000000"/>
              <w:right w:val="nil"/>
            </w:tcBorders>
            <w:vAlign w:val="center"/>
            <w:hideMark/>
          </w:tcPr>
          <w:p w14:paraId="7354664C" w14:textId="77777777" w:rsidR="00E730BF" w:rsidRPr="005D02E7" w:rsidRDefault="00E730BF" w:rsidP="004F5373">
            <w:pPr>
              <w:jc w:val="center"/>
              <w:rPr>
                <w:rFonts w:ascii="Times New Roman" w:hAnsi="Times New Roman" w:cs="Times New Roman"/>
                <w:lang w:val="en-US"/>
              </w:rPr>
            </w:pPr>
          </w:p>
        </w:tc>
      </w:tr>
      <w:tr w:rsidR="00E730BF" w:rsidRPr="005D02E7" w14:paraId="159F45DC" w14:textId="77777777" w:rsidTr="004F5373">
        <w:trPr>
          <w:trHeight w:val="276"/>
        </w:trPr>
        <w:tc>
          <w:tcPr>
            <w:tcW w:w="2497" w:type="dxa"/>
            <w:tcBorders>
              <w:top w:val="single" w:sz="8" w:space="0" w:color="000000"/>
              <w:left w:val="nil"/>
              <w:bottom w:val="nil"/>
              <w:right w:val="nil"/>
            </w:tcBorders>
            <w:shd w:val="clear" w:color="auto" w:fill="FFFFFF"/>
            <w:tcMar>
              <w:top w:w="15" w:type="dxa"/>
              <w:left w:w="15" w:type="dxa"/>
              <w:bottom w:w="0" w:type="dxa"/>
              <w:right w:w="15" w:type="dxa"/>
            </w:tcMar>
            <w:vAlign w:val="center"/>
            <w:hideMark/>
          </w:tcPr>
          <w:p w14:paraId="04B433B3" w14:textId="77777777" w:rsidR="00E730BF" w:rsidRPr="005D02E7" w:rsidRDefault="00E730BF" w:rsidP="004F5373">
            <w:pPr>
              <w:rPr>
                <w:rFonts w:ascii="Times New Roman" w:hAnsi="Times New Roman" w:cs="Times New Roman"/>
                <w:lang w:val="en-US"/>
              </w:rPr>
            </w:pPr>
            <w:r w:rsidRPr="005D02E7">
              <w:rPr>
                <w:rFonts w:ascii="Times New Roman" w:hAnsi="Times New Roman" w:cs="Times New Roman"/>
                <w:iCs/>
                <w:lang w:val="da-DK"/>
              </w:rPr>
              <w:t>Medicine</w:t>
            </w:r>
            <w:r w:rsidRPr="005D02E7">
              <w:rPr>
                <w:rFonts w:ascii="Times New Roman" w:hAnsi="Times New Roman" w:cs="Times New Roman"/>
                <w:lang w:val="da-DK"/>
              </w:rPr>
              <w:t xml:space="preserve">, </w:t>
            </w:r>
            <w:r w:rsidRPr="005D02E7">
              <w:rPr>
                <w:rFonts w:ascii="Times New Roman" w:hAnsi="Times New Roman" w:cs="Times New Roman"/>
                <w:iCs/>
                <w:lang w:val="da-DK"/>
              </w:rPr>
              <w:t>Surgery</w:t>
            </w:r>
            <w:r w:rsidRPr="005D02E7">
              <w:rPr>
                <w:rFonts w:ascii="Times New Roman" w:hAnsi="Times New Roman" w:cs="Times New Roman"/>
                <w:lang w:val="da-DK"/>
              </w:rPr>
              <w:t>, Obstetrics</w:t>
            </w:r>
          </w:p>
        </w:tc>
        <w:tc>
          <w:tcPr>
            <w:tcW w:w="1564" w:type="dxa"/>
            <w:tcBorders>
              <w:top w:val="single" w:sz="8" w:space="0" w:color="000000"/>
              <w:left w:val="nil"/>
              <w:bottom w:val="nil"/>
              <w:right w:val="nil"/>
            </w:tcBorders>
            <w:shd w:val="clear" w:color="auto" w:fill="FFFFFF"/>
            <w:vAlign w:val="center"/>
          </w:tcPr>
          <w:p w14:paraId="102FFC0C"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28782 </w:t>
            </w:r>
            <w:r w:rsidRPr="005D02E7">
              <w:rPr>
                <w:rFonts w:ascii="Times New Roman" w:hAnsi="Times New Roman" w:cs="Times New Roman"/>
                <w:lang w:val="en-US"/>
              </w:rPr>
              <w:br/>
              <w:t>[25834; 32711]</w:t>
            </w:r>
          </w:p>
        </w:tc>
        <w:tc>
          <w:tcPr>
            <w:tcW w:w="1662" w:type="dxa"/>
            <w:tcBorders>
              <w:top w:val="single" w:sz="8" w:space="0" w:color="000000"/>
              <w:left w:val="nil"/>
              <w:bottom w:val="nil"/>
              <w:right w:val="nil"/>
            </w:tcBorders>
            <w:shd w:val="clear" w:color="auto" w:fill="FFFFFF"/>
            <w:vAlign w:val="center"/>
          </w:tcPr>
          <w:p w14:paraId="1BE51DAC"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32282 </w:t>
            </w:r>
            <w:r w:rsidRPr="005D02E7">
              <w:rPr>
                <w:rFonts w:ascii="Times New Roman" w:hAnsi="Times New Roman" w:cs="Times New Roman"/>
                <w:lang w:val="en-US"/>
              </w:rPr>
              <w:br/>
              <w:t>[29248; 35315]</w:t>
            </w:r>
          </w:p>
        </w:tc>
        <w:tc>
          <w:tcPr>
            <w:tcW w:w="832" w:type="dxa"/>
            <w:tcBorders>
              <w:top w:val="single" w:sz="8" w:space="0" w:color="000000"/>
              <w:left w:val="nil"/>
              <w:bottom w:val="nil"/>
              <w:right w:val="dashSmallGap" w:sz="4" w:space="0" w:color="auto"/>
            </w:tcBorders>
            <w:shd w:val="clear" w:color="auto" w:fill="FFFFFF"/>
            <w:vAlign w:val="center"/>
          </w:tcPr>
          <w:p w14:paraId="3FB003A3"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0.240</w:t>
            </w:r>
          </w:p>
        </w:tc>
        <w:tc>
          <w:tcPr>
            <w:tcW w:w="1802" w:type="dxa"/>
            <w:tcBorders>
              <w:top w:val="single" w:sz="8" w:space="0" w:color="000000"/>
              <w:left w:val="dashSmallGap" w:sz="4" w:space="0" w:color="auto"/>
              <w:bottom w:val="nil"/>
              <w:right w:val="nil"/>
            </w:tcBorders>
            <w:shd w:val="clear" w:color="auto" w:fill="FFFFFF"/>
            <w:tcMar>
              <w:top w:w="15" w:type="dxa"/>
              <w:left w:w="15" w:type="dxa"/>
              <w:bottom w:w="0" w:type="dxa"/>
              <w:right w:w="15" w:type="dxa"/>
            </w:tcMar>
            <w:vAlign w:val="center"/>
            <w:hideMark/>
          </w:tcPr>
          <w:p w14:paraId="5E8847E0"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10421 </w:t>
            </w:r>
            <w:r w:rsidRPr="005D02E7">
              <w:rPr>
                <w:rFonts w:ascii="Times New Roman" w:hAnsi="Times New Roman" w:cs="Times New Roman"/>
                <w:lang w:val="en-US"/>
              </w:rPr>
              <w:br/>
              <w:t>[9209; 12181]</w:t>
            </w:r>
          </w:p>
        </w:tc>
        <w:tc>
          <w:tcPr>
            <w:tcW w:w="1662" w:type="dxa"/>
            <w:tcBorders>
              <w:top w:val="single" w:sz="8" w:space="0" w:color="000000"/>
              <w:left w:val="nil"/>
              <w:bottom w:val="nil"/>
              <w:right w:val="nil"/>
            </w:tcBorders>
            <w:shd w:val="clear" w:color="auto" w:fill="FFFFFF"/>
            <w:tcMar>
              <w:top w:w="15" w:type="dxa"/>
              <w:left w:w="15" w:type="dxa"/>
              <w:bottom w:w="0" w:type="dxa"/>
              <w:right w:w="15" w:type="dxa"/>
            </w:tcMar>
            <w:vAlign w:val="center"/>
            <w:hideMark/>
          </w:tcPr>
          <w:p w14:paraId="2D3A370A"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33328 </w:t>
            </w:r>
            <w:r w:rsidRPr="005D02E7">
              <w:rPr>
                <w:rFonts w:ascii="Times New Roman" w:hAnsi="Times New Roman" w:cs="Times New Roman"/>
                <w:lang w:val="en-US"/>
              </w:rPr>
              <w:br/>
              <w:t>[29434; 37647]</w:t>
            </w:r>
          </w:p>
        </w:tc>
        <w:tc>
          <w:tcPr>
            <w:tcW w:w="832" w:type="dxa"/>
            <w:tcBorders>
              <w:top w:val="single" w:sz="8" w:space="0" w:color="000000"/>
              <w:left w:val="nil"/>
              <w:bottom w:val="nil"/>
              <w:right w:val="nil"/>
            </w:tcBorders>
            <w:shd w:val="clear" w:color="auto" w:fill="FFFFFF"/>
            <w:tcMar>
              <w:top w:w="15" w:type="dxa"/>
              <w:left w:w="15" w:type="dxa"/>
              <w:bottom w:w="0" w:type="dxa"/>
              <w:right w:w="15" w:type="dxa"/>
            </w:tcMar>
            <w:vAlign w:val="center"/>
            <w:hideMark/>
          </w:tcPr>
          <w:p w14:paraId="2D5E4C3B"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&lt;0,001</w:t>
            </w:r>
          </w:p>
        </w:tc>
      </w:tr>
      <w:tr w:rsidR="00E730BF" w:rsidRPr="005D02E7" w14:paraId="5BD68F76" w14:textId="77777777" w:rsidTr="004F5373">
        <w:trPr>
          <w:trHeight w:val="276"/>
        </w:trPr>
        <w:tc>
          <w:tcPr>
            <w:tcW w:w="2497" w:type="dxa"/>
            <w:tcBorders>
              <w:top w:val="nil"/>
              <w:left w:val="nil"/>
              <w:bottom w:val="nil"/>
              <w:right w:val="nil"/>
            </w:tcBorders>
            <w:shd w:val="clear" w:color="auto" w:fill="FFFFFF"/>
            <w:tcMar>
              <w:top w:w="15" w:type="dxa"/>
              <w:left w:w="15" w:type="dxa"/>
              <w:bottom w:w="0" w:type="dxa"/>
              <w:right w:w="15" w:type="dxa"/>
            </w:tcMar>
            <w:vAlign w:val="center"/>
            <w:hideMark/>
          </w:tcPr>
          <w:p w14:paraId="1A47B4E8" w14:textId="77777777" w:rsidR="00E730BF" w:rsidRPr="005D02E7" w:rsidRDefault="00E730BF" w:rsidP="004F5373">
            <w:pPr>
              <w:rPr>
                <w:rFonts w:ascii="Times New Roman" w:hAnsi="Times New Roman" w:cs="Times New Roman"/>
                <w:lang w:val="en-US"/>
              </w:rPr>
            </w:pPr>
            <w:r w:rsidRPr="005D02E7">
              <w:rPr>
                <w:rFonts w:ascii="Times New Roman" w:hAnsi="Times New Roman" w:cs="Times New Roman"/>
                <w:lang w:val="en-US"/>
              </w:rPr>
              <w:t>Intensive care</w:t>
            </w:r>
          </w:p>
        </w:tc>
        <w:tc>
          <w:tcPr>
            <w:tcW w:w="1564" w:type="dxa"/>
            <w:tcBorders>
              <w:top w:val="nil"/>
              <w:left w:val="nil"/>
              <w:bottom w:val="nil"/>
              <w:right w:val="nil"/>
            </w:tcBorders>
            <w:shd w:val="clear" w:color="auto" w:fill="FFFFFF"/>
            <w:vAlign w:val="center"/>
          </w:tcPr>
          <w:p w14:paraId="4BF3F3A9"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3756 </w:t>
            </w:r>
            <w:r w:rsidRPr="005D02E7">
              <w:rPr>
                <w:rFonts w:ascii="Times New Roman" w:hAnsi="Times New Roman" w:cs="Times New Roman"/>
                <w:lang w:val="en-US"/>
              </w:rPr>
              <w:br/>
              <w:t>[2726; 5102]</w:t>
            </w:r>
          </w:p>
        </w:tc>
        <w:tc>
          <w:tcPr>
            <w:tcW w:w="1662" w:type="dxa"/>
            <w:tcBorders>
              <w:top w:val="nil"/>
              <w:left w:val="nil"/>
              <w:bottom w:val="nil"/>
              <w:right w:val="nil"/>
            </w:tcBorders>
            <w:shd w:val="clear" w:color="auto" w:fill="FFFFFF"/>
            <w:vAlign w:val="center"/>
          </w:tcPr>
          <w:p w14:paraId="68D769E4"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4098 </w:t>
            </w:r>
            <w:r w:rsidRPr="005D02E7">
              <w:rPr>
                <w:rFonts w:ascii="Times New Roman" w:hAnsi="Times New Roman" w:cs="Times New Roman"/>
                <w:lang w:val="en-US"/>
              </w:rPr>
              <w:br/>
              <w:t>[3190; 5073]</w:t>
            </w:r>
          </w:p>
        </w:tc>
        <w:tc>
          <w:tcPr>
            <w:tcW w:w="832" w:type="dxa"/>
            <w:tcBorders>
              <w:top w:val="nil"/>
              <w:left w:val="nil"/>
              <w:bottom w:val="nil"/>
              <w:right w:val="dashSmallGap" w:sz="4" w:space="0" w:color="auto"/>
            </w:tcBorders>
            <w:shd w:val="clear" w:color="auto" w:fill="FFFFFF"/>
            <w:vAlign w:val="center"/>
          </w:tcPr>
          <w:p w14:paraId="2B064551"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0.882</w:t>
            </w:r>
          </w:p>
        </w:tc>
        <w:tc>
          <w:tcPr>
            <w:tcW w:w="1802" w:type="dxa"/>
            <w:tcBorders>
              <w:top w:val="nil"/>
              <w:left w:val="dashSmallGap" w:sz="4" w:space="0" w:color="auto"/>
              <w:bottom w:val="nil"/>
              <w:right w:val="nil"/>
            </w:tcBorders>
            <w:shd w:val="clear" w:color="auto" w:fill="FFFFFF"/>
            <w:tcMar>
              <w:top w:w="15" w:type="dxa"/>
              <w:left w:w="15" w:type="dxa"/>
              <w:bottom w:w="0" w:type="dxa"/>
              <w:right w:w="15" w:type="dxa"/>
            </w:tcMar>
            <w:vAlign w:val="center"/>
            <w:hideMark/>
          </w:tcPr>
          <w:p w14:paraId="2A9E0713"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631 </w:t>
            </w:r>
            <w:r w:rsidRPr="005D02E7">
              <w:rPr>
                <w:rFonts w:ascii="Times New Roman" w:hAnsi="Times New Roman" w:cs="Times New Roman"/>
                <w:lang w:val="en-US"/>
              </w:rPr>
              <w:br/>
              <w:t>[413; 994]</w:t>
            </w:r>
          </w:p>
        </w:tc>
        <w:tc>
          <w:tcPr>
            <w:tcW w:w="1662" w:type="dxa"/>
            <w:tcBorders>
              <w:top w:val="nil"/>
              <w:left w:val="nil"/>
              <w:bottom w:val="nil"/>
              <w:right w:val="nil"/>
            </w:tcBorders>
            <w:shd w:val="clear" w:color="auto" w:fill="FFFFFF"/>
            <w:tcMar>
              <w:top w:w="15" w:type="dxa"/>
              <w:left w:w="15" w:type="dxa"/>
              <w:bottom w:w="0" w:type="dxa"/>
              <w:right w:w="15" w:type="dxa"/>
            </w:tcMar>
            <w:vAlign w:val="center"/>
            <w:hideMark/>
          </w:tcPr>
          <w:p w14:paraId="0B8224CB"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1887 </w:t>
            </w:r>
            <w:r w:rsidRPr="005D02E7">
              <w:rPr>
                <w:rFonts w:ascii="Times New Roman" w:hAnsi="Times New Roman" w:cs="Times New Roman"/>
                <w:lang w:val="en-US"/>
              </w:rPr>
              <w:br/>
              <w:t>[1050; 3127]</w:t>
            </w:r>
          </w:p>
        </w:tc>
        <w:tc>
          <w:tcPr>
            <w:tcW w:w="832" w:type="dxa"/>
            <w:tcBorders>
              <w:top w:val="nil"/>
              <w:left w:val="nil"/>
              <w:bottom w:val="nil"/>
              <w:right w:val="nil"/>
            </w:tcBorders>
            <w:shd w:val="clear" w:color="auto" w:fill="FFFFFF"/>
            <w:tcMar>
              <w:top w:w="15" w:type="dxa"/>
              <w:left w:w="15" w:type="dxa"/>
              <w:bottom w:w="0" w:type="dxa"/>
              <w:right w:w="15" w:type="dxa"/>
            </w:tcMar>
            <w:vAlign w:val="center"/>
            <w:hideMark/>
          </w:tcPr>
          <w:p w14:paraId="1ACA3EC3"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0.234</w:t>
            </w:r>
          </w:p>
        </w:tc>
      </w:tr>
      <w:tr w:rsidR="00E730BF" w:rsidRPr="005D02E7" w14:paraId="20F59A9D" w14:textId="77777777" w:rsidTr="004F5373">
        <w:trPr>
          <w:trHeight w:val="347"/>
        </w:trPr>
        <w:tc>
          <w:tcPr>
            <w:tcW w:w="2497" w:type="dxa"/>
            <w:tcBorders>
              <w:top w:val="nil"/>
              <w:left w:val="nil"/>
              <w:bottom w:val="nil"/>
              <w:right w:val="nil"/>
            </w:tcBorders>
            <w:shd w:val="clear" w:color="auto" w:fill="FFFFFF"/>
            <w:tcMar>
              <w:top w:w="15" w:type="dxa"/>
              <w:left w:w="15" w:type="dxa"/>
              <w:bottom w:w="0" w:type="dxa"/>
              <w:right w:w="15" w:type="dxa"/>
            </w:tcMar>
            <w:vAlign w:val="center"/>
            <w:hideMark/>
          </w:tcPr>
          <w:p w14:paraId="514A8CCA" w14:textId="77777777" w:rsidR="00E730BF" w:rsidRPr="005D02E7" w:rsidRDefault="00E730BF" w:rsidP="004F5373">
            <w:pPr>
              <w:rPr>
                <w:rFonts w:ascii="Times New Roman" w:hAnsi="Times New Roman" w:cs="Times New Roman"/>
                <w:lang w:val="en-US"/>
              </w:rPr>
            </w:pPr>
            <w:r w:rsidRPr="005D02E7">
              <w:rPr>
                <w:rFonts w:ascii="Times New Roman" w:hAnsi="Times New Roman" w:cs="Times New Roman"/>
                <w:lang w:val="en-US"/>
              </w:rPr>
              <w:t>Continuous monitoring</w:t>
            </w:r>
          </w:p>
        </w:tc>
        <w:tc>
          <w:tcPr>
            <w:tcW w:w="1564" w:type="dxa"/>
            <w:tcBorders>
              <w:top w:val="nil"/>
              <w:left w:val="nil"/>
              <w:bottom w:val="nil"/>
              <w:right w:val="nil"/>
            </w:tcBorders>
            <w:shd w:val="clear" w:color="auto" w:fill="FFFFFF"/>
            <w:vAlign w:val="center"/>
          </w:tcPr>
          <w:p w14:paraId="340802F1"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3342 </w:t>
            </w:r>
            <w:r w:rsidRPr="005D02E7">
              <w:rPr>
                <w:rFonts w:ascii="Times New Roman" w:hAnsi="Times New Roman" w:cs="Times New Roman"/>
                <w:lang w:val="en-US"/>
              </w:rPr>
              <w:br/>
              <w:t>[2614; 4142]</w:t>
            </w:r>
          </w:p>
        </w:tc>
        <w:tc>
          <w:tcPr>
            <w:tcW w:w="1662" w:type="dxa"/>
            <w:tcBorders>
              <w:top w:val="nil"/>
              <w:left w:val="nil"/>
              <w:bottom w:val="nil"/>
              <w:right w:val="nil"/>
            </w:tcBorders>
            <w:shd w:val="clear" w:color="auto" w:fill="FFFFFF"/>
            <w:vAlign w:val="center"/>
          </w:tcPr>
          <w:p w14:paraId="32659E0F"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2931 </w:t>
            </w:r>
            <w:r w:rsidRPr="005D02E7">
              <w:rPr>
                <w:rFonts w:ascii="Times New Roman" w:hAnsi="Times New Roman" w:cs="Times New Roman"/>
                <w:lang w:val="en-US"/>
              </w:rPr>
              <w:br/>
              <w:t>[2201; 3862]</w:t>
            </w:r>
          </w:p>
        </w:tc>
        <w:tc>
          <w:tcPr>
            <w:tcW w:w="832" w:type="dxa"/>
            <w:tcBorders>
              <w:top w:val="nil"/>
              <w:left w:val="nil"/>
              <w:bottom w:val="nil"/>
              <w:right w:val="dashSmallGap" w:sz="4" w:space="0" w:color="auto"/>
            </w:tcBorders>
            <w:shd w:val="clear" w:color="auto" w:fill="FFFFFF"/>
            <w:vAlign w:val="center"/>
          </w:tcPr>
          <w:p w14:paraId="7F6D7C5D"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0.018</w:t>
            </w:r>
          </w:p>
        </w:tc>
        <w:tc>
          <w:tcPr>
            <w:tcW w:w="1802" w:type="dxa"/>
            <w:tcBorders>
              <w:top w:val="nil"/>
              <w:left w:val="dashSmallGap" w:sz="4" w:space="0" w:color="auto"/>
              <w:bottom w:val="nil"/>
              <w:right w:val="nil"/>
            </w:tcBorders>
            <w:shd w:val="clear" w:color="auto" w:fill="FFFFFF"/>
            <w:tcMar>
              <w:top w:w="15" w:type="dxa"/>
              <w:left w:w="15" w:type="dxa"/>
              <w:bottom w:w="0" w:type="dxa"/>
              <w:right w:w="15" w:type="dxa"/>
            </w:tcMar>
            <w:vAlign w:val="center"/>
            <w:hideMark/>
          </w:tcPr>
          <w:p w14:paraId="2648F09A"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112 </w:t>
            </w:r>
            <w:r w:rsidRPr="005D02E7">
              <w:rPr>
                <w:rFonts w:ascii="Times New Roman" w:hAnsi="Times New Roman" w:cs="Times New Roman"/>
                <w:lang w:val="en-US"/>
              </w:rPr>
              <w:br/>
              <w:t>[58; 238]</w:t>
            </w:r>
          </w:p>
        </w:tc>
        <w:tc>
          <w:tcPr>
            <w:tcW w:w="1662" w:type="dxa"/>
            <w:tcBorders>
              <w:top w:val="nil"/>
              <w:left w:val="nil"/>
              <w:bottom w:val="nil"/>
              <w:right w:val="nil"/>
            </w:tcBorders>
            <w:shd w:val="clear" w:color="auto" w:fill="FFFFFF"/>
            <w:tcMar>
              <w:top w:w="15" w:type="dxa"/>
              <w:left w:w="15" w:type="dxa"/>
              <w:bottom w:w="0" w:type="dxa"/>
              <w:right w:w="15" w:type="dxa"/>
            </w:tcMar>
            <w:vAlign w:val="center"/>
            <w:hideMark/>
          </w:tcPr>
          <w:p w14:paraId="5742FE50"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4893 </w:t>
            </w:r>
            <w:r w:rsidRPr="005D02E7">
              <w:rPr>
                <w:rFonts w:ascii="Times New Roman" w:hAnsi="Times New Roman" w:cs="Times New Roman"/>
                <w:lang w:val="en-US"/>
              </w:rPr>
              <w:br/>
              <w:t>[3994; 5839]</w:t>
            </w:r>
          </w:p>
        </w:tc>
        <w:tc>
          <w:tcPr>
            <w:tcW w:w="832" w:type="dxa"/>
            <w:tcBorders>
              <w:top w:val="nil"/>
              <w:left w:val="nil"/>
              <w:bottom w:val="nil"/>
              <w:right w:val="nil"/>
            </w:tcBorders>
            <w:shd w:val="clear" w:color="auto" w:fill="FFFFFF"/>
            <w:tcMar>
              <w:top w:w="15" w:type="dxa"/>
              <w:left w:w="15" w:type="dxa"/>
              <w:bottom w:w="0" w:type="dxa"/>
              <w:right w:w="15" w:type="dxa"/>
            </w:tcMar>
            <w:vAlign w:val="center"/>
            <w:hideMark/>
          </w:tcPr>
          <w:p w14:paraId="40233002"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&lt;0,001</w:t>
            </w:r>
          </w:p>
        </w:tc>
      </w:tr>
      <w:tr w:rsidR="00E730BF" w:rsidRPr="005D02E7" w14:paraId="695EAF87" w14:textId="77777777" w:rsidTr="004F5373">
        <w:trPr>
          <w:trHeight w:val="175"/>
        </w:trPr>
        <w:tc>
          <w:tcPr>
            <w:tcW w:w="2497" w:type="dxa"/>
            <w:tcBorders>
              <w:top w:val="nil"/>
              <w:left w:val="nil"/>
              <w:bottom w:val="nil"/>
              <w:right w:val="nil"/>
            </w:tcBorders>
            <w:shd w:val="clear" w:color="auto" w:fill="FFFFFF"/>
            <w:tcMar>
              <w:top w:w="15" w:type="dxa"/>
              <w:left w:w="15" w:type="dxa"/>
              <w:bottom w:w="0" w:type="dxa"/>
              <w:right w:w="15" w:type="dxa"/>
            </w:tcMar>
            <w:vAlign w:val="center"/>
            <w:hideMark/>
          </w:tcPr>
          <w:p w14:paraId="0939435E" w14:textId="77777777" w:rsidR="00E730BF" w:rsidRPr="005D02E7" w:rsidRDefault="00E730BF" w:rsidP="004F5373">
            <w:pPr>
              <w:rPr>
                <w:rFonts w:ascii="Times New Roman" w:hAnsi="Times New Roman" w:cs="Times New Roman"/>
                <w:lang w:val="en-US"/>
              </w:rPr>
            </w:pPr>
            <w:r w:rsidRPr="005D02E7">
              <w:rPr>
                <w:rFonts w:ascii="Times New Roman" w:hAnsi="Times New Roman" w:cs="Times New Roman"/>
                <w:lang w:val="en-US"/>
              </w:rPr>
              <w:t>Acute care</w:t>
            </w:r>
          </w:p>
        </w:tc>
        <w:tc>
          <w:tcPr>
            <w:tcW w:w="1564" w:type="dxa"/>
            <w:tcBorders>
              <w:top w:val="nil"/>
              <w:left w:val="nil"/>
              <w:bottom w:val="nil"/>
              <w:right w:val="nil"/>
            </w:tcBorders>
            <w:shd w:val="clear" w:color="auto" w:fill="FFFFFF"/>
            <w:vAlign w:val="center"/>
          </w:tcPr>
          <w:p w14:paraId="74DA27D0"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112 </w:t>
            </w:r>
            <w:r w:rsidRPr="005D02E7">
              <w:rPr>
                <w:rFonts w:ascii="Times New Roman" w:hAnsi="Times New Roman" w:cs="Times New Roman"/>
                <w:lang w:val="en-US"/>
              </w:rPr>
              <w:br/>
              <w:t>[20; 413]</w:t>
            </w:r>
          </w:p>
        </w:tc>
        <w:tc>
          <w:tcPr>
            <w:tcW w:w="1662" w:type="dxa"/>
            <w:tcBorders>
              <w:top w:val="nil"/>
              <w:left w:val="nil"/>
              <w:bottom w:val="nil"/>
              <w:right w:val="nil"/>
            </w:tcBorders>
            <w:shd w:val="clear" w:color="auto" w:fill="FFFFFF"/>
            <w:vAlign w:val="center"/>
          </w:tcPr>
          <w:p w14:paraId="70365F61"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78 </w:t>
            </w:r>
            <w:r w:rsidRPr="005D02E7">
              <w:rPr>
                <w:rFonts w:ascii="Times New Roman" w:hAnsi="Times New Roman" w:cs="Times New Roman"/>
                <w:lang w:val="en-US"/>
              </w:rPr>
              <w:br/>
              <w:t>[24; 203]</w:t>
            </w:r>
          </w:p>
        </w:tc>
        <w:tc>
          <w:tcPr>
            <w:tcW w:w="832" w:type="dxa"/>
            <w:tcBorders>
              <w:top w:val="nil"/>
              <w:left w:val="nil"/>
              <w:bottom w:val="nil"/>
              <w:right w:val="dashSmallGap" w:sz="4" w:space="0" w:color="auto"/>
            </w:tcBorders>
            <w:shd w:val="clear" w:color="auto" w:fill="FFFFFF"/>
            <w:vAlign w:val="center"/>
          </w:tcPr>
          <w:p w14:paraId="70F60026"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0.750</w:t>
            </w:r>
          </w:p>
        </w:tc>
        <w:tc>
          <w:tcPr>
            <w:tcW w:w="1802" w:type="dxa"/>
            <w:tcBorders>
              <w:top w:val="nil"/>
              <w:left w:val="dashSmallGap" w:sz="4" w:space="0" w:color="auto"/>
              <w:bottom w:val="nil"/>
              <w:right w:val="nil"/>
            </w:tcBorders>
            <w:shd w:val="clear" w:color="auto" w:fill="FFFFFF"/>
            <w:tcMar>
              <w:top w:w="15" w:type="dxa"/>
              <w:left w:w="15" w:type="dxa"/>
              <w:bottom w:w="0" w:type="dxa"/>
              <w:right w:w="15" w:type="dxa"/>
            </w:tcMar>
            <w:vAlign w:val="center"/>
            <w:hideMark/>
          </w:tcPr>
          <w:p w14:paraId="2870B202"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76 </w:t>
            </w:r>
            <w:r w:rsidRPr="005D02E7">
              <w:rPr>
                <w:rFonts w:ascii="Times New Roman" w:hAnsi="Times New Roman" w:cs="Times New Roman"/>
                <w:lang w:val="en-US"/>
              </w:rPr>
              <w:br/>
              <w:t>[13; 324]</w:t>
            </w:r>
          </w:p>
        </w:tc>
        <w:tc>
          <w:tcPr>
            <w:tcW w:w="1662" w:type="dxa"/>
            <w:tcBorders>
              <w:top w:val="nil"/>
              <w:left w:val="nil"/>
              <w:bottom w:val="nil"/>
              <w:right w:val="nil"/>
            </w:tcBorders>
            <w:shd w:val="clear" w:color="auto" w:fill="FFFFFF"/>
            <w:tcMar>
              <w:top w:w="15" w:type="dxa"/>
              <w:left w:w="15" w:type="dxa"/>
              <w:bottom w:w="0" w:type="dxa"/>
              <w:right w:w="15" w:type="dxa"/>
            </w:tcMar>
            <w:vAlign w:val="center"/>
            <w:hideMark/>
          </w:tcPr>
          <w:p w14:paraId="0669C87A"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64 </w:t>
            </w:r>
            <w:r w:rsidRPr="005D02E7">
              <w:rPr>
                <w:rFonts w:ascii="Times New Roman" w:hAnsi="Times New Roman" w:cs="Times New Roman"/>
                <w:lang w:val="en-US"/>
              </w:rPr>
              <w:br/>
              <w:t>[12; 181]</w:t>
            </w:r>
          </w:p>
        </w:tc>
        <w:tc>
          <w:tcPr>
            <w:tcW w:w="832" w:type="dxa"/>
            <w:tcBorders>
              <w:top w:val="nil"/>
              <w:left w:val="nil"/>
              <w:bottom w:val="nil"/>
              <w:right w:val="nil"/>
            </w:tcBorders>
            <w:shd w:val="clear" w:color="auto" w:fill="FFFFFF"/>
            <w:tcMar>
              <w:top w:w="15" w:type="dxa"/>
              <w:left w:w="15" w:type="dxa"/>
              <w:bottom w:w="0" w:type="dxa"/>
              <w:right w:w="15" w:type="dxa"/>
            </w:tcMar>
            <w:vAlign w:val="center"/>
            <w:hideMark/>
          </w:tcPr>
          <w:p w14:paraId="233CAA51"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0.140</w:t>
            </w:r>
          </w:p>
        </w:tc>
      </w:tr>
      <w:tr w:rsidR="00E730BF" w:rsidRPr="005D02E7" w14:paraId="2AD82F8E" w14:textId="77777777" w:rsidTr="004F5373">
        <w:trPr>
          <w:trHeight w:val="276"/>
        </w:trPr>
        <w:tc>
          <w:tcPr>
            <w:tcW w:w="2497" w:type="dxa"/>
            <w:tcBorders>
              <w:top w:val="nil"/>
              <w:left w:val="nil"/>
              <w:bottom w:val="nil"/>
              <w:right w:val="nil"/>
            </w:tcBorders>
            <w:shd w:val="clear" w:color="auto" w:fill="FFFFFF"/>
            <w:tcMar>
              <w:top w:w="15" w:type="dxa"/>
              <w:left w:w="15" w:type="dxa"/>
              <w:bottom w:w="0" w:type="dxa"/>
              <w:right w:w="15" w:type="dxa"/>
            </w:tcMar>
            <w:vAlign w:val="center"/>
            <w:hideMark/>
          </w:tcPr>
          <w:p w14:paraId="7080C088" w14:textId="77777777" w:rsidR="00E730BF" w:rsidRPr="005D02E7" w:rsidRDefault="00E730BF" w:rsidP="004F5373">
            <w:pPr>
              <w:rPr>
                <w:rFonts w:ascii="Times New Roman" w:hAnsi="Times New Roman" w:cs="Times New Roman"/>
                <w:lang w:val="en-US"/>
              </w:rPr>
            </w:pPr>
            <w:r w:rsidRPr="005D02E7">
              <w:rPr>
                <w:rFonts w:ascii="Times New Roman" w:hAnsi="Times New Roman" w:cs="Times New Roman"/>
                <w:lang w:val="en-US"/>
              </w:rPr>
              <w:t>Expensive drugs</w:t>
            </w:r>
          </w:p>
        </w:tc>
        <w:tc>
          <w:tcPr>
            <w:tcW w:w="1564" w:type="dxa"/>
            <w:tcBorders>
              <w:top w:val="nil"/>
              <w:left w:val="nil"/>
              <w:bottom w:val="nil"/>
              <w:right w:val="nil"/>
            </w:tcBorders>
            <w:shd w:val="clear" w:color="auto" w:fill="FFFFFF"/>
            <w:vAlign w:val="center"/>
          </w:tcPr>
          <w:p w14:paraId="1667103A"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827 </w:t>
            </w:r>
            <w:r w:rsidRPr="005D02E7">
              <w:rPr>
                <w:rFonts w:ascii="Times New Roman" w:hAnsi="Times New Roman" w:cs="Times New Roman"/>
                <w:lang w:val="en-US"/>
              </w:rPr>
              <w:br/>
              <w:t>[404; 1464]</w:t>
            </w:r>
          </w:p>
        </w:tc>
        <w:tc>
          <w:tcPr>
            <w:tcW w:w="1662" w:type="dxa"/>
            <w:tcBorders>
              <w:top w:val="nil"/>
              <w:left w:val="nil"/>
              <w:bottom w:val="nil"/>
              <w:right w:val="nil"/>
            </w:tcBorders>
            <w:shd w:val="clear" w:color="auto" w:fill="FFFFFF"/>
            <w:vAlign w:val="center"/>
          </w:tcPr>
          <w:p w14:paraId="0AE64D6D"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417 </w:t>
            </w:r>
            <w:r w:rsidRPr="005D02E7">
              <w:rPr>
                <w:rFonts w:ascii="Times New Roman" w:hAnsi="Times New Roman" w:cs="Times New Roman"/>
                <w:lang w:val="en-US"/>
              </w:rPr>
              <w:br/>
              <w:t>[115; 1794]</w:t>
            </w:r>
          </w:p>
        </w:tc>
        <w:tc>
          <w:tcPr>
            <w:tcW w:w="832" w:type="dxa"/>
            <w:tcBorders>
              <w:top w:val="nil"/>
              <w:left w:val="nil"/>
              <w:bottom w:val="nil"/>
              <w:right w:val="dashSmallGap" w:sz="4" w:space="0" w:color="auto"/>
            </w:tcBorders>
            <w:shd w:val="clear" w:color="auto" w:fill="FFFFFF"/>
            <w:vAlign w:val="center"/>
          </w:tcPr>
          <w:p w14:paraId="40350598"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0.006</w:t>
            </w:r>
          </w:p>
        </w:tc>
        <w:tc>
          <w:tcPr>
            <w:tcW w:w="1802" w:type="dxa"/>
            <w:tcBorders>
              <w:top w:val="nil"/>
              <w:left w:val="dashSmallGap" w:sz="4" w:space="0" w:color="auto"/>
              <w:bottom w:val="nil"/>
              <w:right w:val="nil"/>
            </w:tcBorders>
            <w:shd w:val="clear" w:color="auto" w:fill="FFFFFF"/>
            <w:tcMar>
              <w:top w:w="15" w:type="dxa"/>
              <w:left w:w="15" w:type="dxa"/>
              <w:bottom w:w="0" w:type="dxa"/>
              <w:right w:w="15" w:type="dxa"/>
            </w:tcMar>
            <w:vAlign w:val="center"/>
            <w:hideMark/>
          </w:tcPr>
          <w:p w14:paraId="4D247E7F"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523 </w:t>
            </w:r>
            <w:r w:rsidRPr="005D02E7">
              <w:rPr>
                <w:rFonts w:ascii="Times New Roman" w:hAnsi="Times New Roman" w:cs="Times New Roman"/>
                <w:lang w:val="en-US"/>
              </w:rPr>
              <w:br/>
              <w:t>[391; 775]</w:t>
            </w:r>
          </w:p>
        </w:tc>
        <w:tc>
          <w:tcPr>
            <w:tcW w:w="1662" w:type="dxa"/>
            <w:tcBorders>
              <w:top w:val="nil"/>
              <w:left w:val="nil"/>
              <w:bottom w:val="nil"/>
              <w:right w:val="nil"/>
            </w:tcBorders>
            <w:shd w:val="clear" w:color="auto" w:fill="FFFFFF"/>
            <w:tcMar>
              <w:top w:w="15" w:type="dxa"/>
              <w:left w:w="15" w:type="dxa"/>
              <w:bottom w:w="0" w:type="dxa"/>
              <w:right w:w="15" w:type="dxa"/>
            </w:tcMar>
            <w:vAlign w:val="center"/>
            <w:hideMark/>
          </w:tcPr>
          <w:p w14:paraId="0C15A5A8"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81 </w:t>
            </w:r>
            <w:r w:rsidRPr="005D02E7">
              <w:rPr>
                <w:rFonts w:ascii="Times New Roman" w:hAnsi="Times New Roman" w:cs="Times New Roman"/>
                <w:lang w:val="en-US"/>
              </w:rPr>
              <w:br/>
              <w:t>[9; 242]</w:t>
            </w:r>
          </w:p>
        </w:tc>
        <w:tc>
          <w:tcPr>
            <w:tcW w:w="832" w:type="dxa"/>
            <w:tcBorders>
              <w:top w:val="nil"/>
              <w:left w:val="nil"/>
              <w:bottom w:val="nil"/>
              <w:right w:val="nil"/>
            </w:tcBorders>
            <w:shd w:val="clear" w:color="auto" w:fill="FFFFFF"/>
            <w:tcMar>
              <w:top w:w="15" w:type="dxa"/>
              <w:left w:w="15" w:type="dxa"/>
              <w:bottom w:w="0" w:type="dxa"/>
              <w:right w:w="15" w:type="dxa"/>
            </w:tcMar>
            <w:vAlign w:val="center"/>
            <w:hideMark/>
          </w:tcPr>
          <w:p w14:paraId="3580D781"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&lt;0,001</w:t>
            </w:r>
          </w:p>
        </w:tc>
      </w:tr>
      <w:tr w:rsidR="00E730BF" w:rsidRPr="005D02E7" w14:paraId="132FB730" w14:textId="77777777" w:rsidTr="004F5373">
        <w:trPr>
          <w:trHeight w:val="76"/>
        </w:trPr>
        <w:tc>
          <w:tcPr>
            <w:tcW w:w="2497" w:type="dxa"/>
            <w:tcBorders>
              <w:top w:val="nil"/>
              <w:left w:val="nil"/>
              <w:bottom w:val="dotted" w:sz="8" w:space="0" w:color="000000"/>
              <w:right w:val="nil"/>
            </w:tcBorders>
            <w:shd w:val="clear" w:color="auto" w:fill="FFFFFF"/>
            <w:tcMar>
              <w:top w:w="15" w:type="dxa"/>
              <w:left w:w="15" w:type="dxa"/>
              <w:bottom w:w="0" w:type="dxa"/>
              <w:right w:w="15" w:type="dxa"/>
            </w:tcMar>
            <w:vAlign w:val="center"/>
            <w:hideMark/>
          </w:tcPr>
          <w:p w14:paraId="42A51D33" w14:textId="77777777" w:rsidR="00E730BF" w:rsidRPr="005D02E7" w:rsidRDefault="00E730BF" w:rsidP="004F5373">
            <w:pPr>
              <w:rPr>
                <w:rFonts w:ascii="Times New Roman" w:hAnsi="Times New Roman" w:cs="Times New Roman"/>
                <w:lang w:val="en-US"/>
              </w:rPr>
            </w:pPr>
            <w:r w:rsidRPr="005D02E7">
              <w:rPr>
                <w:rFonts w:ascii="Times New Roman" w:hAnsi="Times New Roman" w:cs="Times New Roman"/>
                <w:b/>
                <w:bCs/>
                <w:lang w:val="en-US"/>
              </w:rPr>
              <w:t>Total cost</w:t>
            </w:r>
          </w:p>
        </w:tc>
        <w:tc>
          <w:tcPr>
            <w:tcW w:w="1564" w:type="dxa"/>
            <w:tcBorders>
              <w:top w:val="nil"/>
              <w:left w:val="nil"/>
              <w:bottom w:val="dotted" w:sz="8" w:space="0" w:color="000000"/>
              <w:right w:val="nil"/>
            </w:tcBorders>
            <w:shd w:val="clear" w:color="auto" w:fill="FFFFFF"/>
            <w:vAlign w:val="center"/>
          </w:tcPr>
          <w:p w14:paraId="535DF35C"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b/>
                <w:lang w:val="en-US"/>
              </w:rPr>
              <w:t xml:space="preserve">36818 </w:t>
            </w:r>
            <w:r w:rsidRPr="005D02E7">
              <w:rPr>
                <w:rFonts w:ascii="Times New Roman" w:hAnsi="Times New Roman" w:cs="Times New Roman"/>
                <w:b/>
                <w:lang w:val="en-US"/>
              </w:rPr>
              <w:br/>
              <w:t>[32919; 41790]</w:t>
            </w:r>
          </w:p>
        </w:tc>
        <w:tc>
          <w:tcPr>
            <w:tcW w:w="1662" w:type="dxa"/>
            <w:tcBorders>
              <w:top w:val="nil"/>
              <w:left w:val="nil"/>
              <w:bottom w:val="dotted" w:sz="8" w:space="0" w:color="000000"/>
              <w:right w:val="nil"/>
            </w:tcBorders>
            <w:shd w:val="clear" w:color="auto" w:fill="FFFFFF"/>
            <w:vAlign w:val="center"/>
          </w:tcPr>
          <w:p w14:paraId="564DF559"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b/>
                <w:lang w:val="en-US"/>
              </w:rPr>
              <w:t xml:space="preserve">39805 </w:t>
            </w:r>
            <w:r w:rsidRPr="005D02E7">
              <w:rPr>
                <w:rFonts w:ascii="Times New Roman" w:hAnsi="Times New Roman" w:cs="Times New Roman"/>
                <w:b/>
                <w:lang w:val="en-US"/>
              </w:rPr>
              <w:br/>
              <w:t>[36592; 42696]</w:t>
            </w:r>
          </w:p>
        </w:tc>
        <w:tc>
          <w:tcPr>
            <w:tcW w:w="832" w:type="dxa"/>
            <w:tcBorders>
              <w:top w:val="nil"/>
              <w:left w:val="nil"/>
              <w:bottom w:val="dotted" w:sz="8" w:space="0" w:color="000000"/>
              <w:right w:val="dashSmallGap" w:sz="4" w:space="0" w:color="auto"/>
            </w:tcBorders>
            <w:shd w:val="clear" w:color="auto" w:fill="FFFFFF"/>
            <w:vAlign w:val="center"/>
          </w:tcPr>
          <w:p w14:paraId="07CA4AE0"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b/>
                <w:lang w:val="en-US"/>
              </w:rPr>
              <w:t>0.142</w:t>
            </w:r>
          </w:p>
        </w:tc>
        <w:tc>
          <w:tcPr>
            <w:tcW w:w="1802" w:type="dxa"/>
            <w:tcBorders>
              <w:top w:val="nil"/>
              <w:left w:val="dashSmallGap" w:sz="4" w:space="0" w:color="auto"/>
              <w:bottom w:val="dotted" w:sz="8" w:space="0" w:color="000000"/>
              <w:right w:val="nil"/>
            </w:tcBorders>
            <w:shd w:val="clear" w:color="auto" w:fill="FFFFFF"/>
            <w:tcMar>
              <w:top w:w="15" w:type="dxa"/>
              <w:left w:w="15" w:type="dxa"/>
              <w:bottom w:w="0" w:type="dxa"/>
              <w:right w:w="15" w:type="dxa"/>
            </w:tcMar>
            <w:vAlign w:val="center"/>
            <w:hideMark/>
          </w:tcPr>
          <w:p w14:paraId="76A72A4B" w14:textId="77777777" w:rsidR="00E730BF" w:rsidRPr="005D02E7" w:rsidRDefault="00E730BF" w:rsidP="004F5373">
            <w:pPr>
              <w:jc w:val="center"/>
              <w:rPr>
                <w:rFonts w:ascii="Times New Roman" w:hAnsi="Times New Roman" w:cs="Times New Roman"/>
                <w:b/>
                <w:lang w:val="en-US"/>
              </w:rPr>
            </w:pPr>
            <w:r w:rsidRPr="005D02E7">
              <w:rPr>
                <w:rFonts w:ascii="Times New Roman" w:hAnsi="Times New Roman" w:cs="Times New Roman"/>
                <w:b/>
                <w:lang w:val="en-US"/>
              </w:rPr>
              <w:t xml:space="preserve">11763 </w:t>
            </w:r>
            <w:r w:rsidRPr="005D02E7">
              <w:rPr>
                <w:rFonts w:ascii="Times New Roman" w:hAnsi="Times New Roman" w:cs="Times New Roman"/>
                <w:b/>
                <w:lang w:val="en-US"/>
              </w:rPr>
              <w:br/>
              <w:t>[10366; 13918]</w:t>
            </w:r>
          </w:p>
        </w:tc>
        <w:tc>
          <w:tcPr>
            <w:tcW w:w="1662" w:type="dxa"/>
            <w:tcBorders>
              <w:top w:val="nil"/>
              <w:left w:val="nil"/>
              <w:bottom w:val="dotted" w:sz="8" w:space="0" w:color="000000"/>
              <w:right w:val="nil"/>
            </w:tcBorders>
            <w:shd w:val="clear" w:color="auto" w:fill="FFFFFF"/>
            <w:tcMar>
              <w:top w:w="15" w:type="dxa"/>
              <w:left w:w="15" w:type="dxa"/>
              <w:bottom w:w="0" w:type="dxa"/>
              <w:right w:w="15" w:type="dxa"/>
            </w:tcMar>
            <w:vAlign w:val="center"/>
            <w:hideMark/>
          </w:tcPr>
          <w:p w14:paraId="060E84EC" w14:textId="77777777" w:rsidR="00E730BF" w:rsidRPr="005D02E7" w:rsidRDefault="00E730BF" w:rsidP="004F5373">
            <w:pPr>
              <w:jc w:val="center"/>
              <w:rPr>
                <w:rFonts w:ascii="Times New Roman" w:hAnsi="Times New Roman" w:cs="Times New Roman"/>
                <w:b/>
                <w:lang w:val="en-US"/>
              </w:rPr>
            </w:pPr>
            <w:r w:rsidRPr="005D02E7">
              <w:rPr>
                <w:rFonts w:ascii="Times New Roman" w:hAnsi="Times New Roman" w:cs="Times New Roman"/>
                <w:b/>
                <w:lang w:val="en-US"/>
              </w:rPr>
              <w:t xml:space="preserve">40253 </w:t>
            </w:r>
            <w:r w:rsidRPr="005D02E7">
              <w:rPr>
                <w:rFonts w:ascii="Times New Roman" w:hAnsi="Times New Roman" w:cs="Times New Roman"/>
                <w:b/>
                <w:lang w:val="en-US"/>
              </w:rPr>
              <w:br/>
              <w:t>[35342; 45333]</w:t>
            </w:r>
          </w:p>
        </w:tc>
        <w:tc>
          <w:tcPr>
            <w:tcW w:w="832" w:type="dxa"/>
            <w:tcBorders>
              <w:top w:val="nil"/>
              <w:left w:val="nil"/>
              <w:bottom w:val="dotted" w:sz="8" w:space="0" w:color="000000"/>
              <w:right w:val="nil"/>
            </w:tcBorders>
            <w:shd w:val="clear" w:color="auto" w:fill="FFFFFF"/>
            <w:tcMar>
              <w:top w:w="15" w:type="dxa"/>
              <w:left w:w="15" w:type="dxa"/>
              <w:bottom w:w="0" w:type="dxa"/>
              <w:right w:w="15" w:type="dxa"/>
            </w:tcMar>
            <w:vAlign w:val="center"/>
            <w:hideMark/>
          </w:tcPr>
          <w:p w14:paraId="760E0701" w14:textId="77777777" w:rsidR="00E730BF" w:rsidRPr="005D02E7" w:rsidRDefault="00E730BF" w:rsidP="004F5373">
            <w:pPr>
              <w:jc w:val="center"/>
              <w:rPr>
                <w:rFonts w:ascii="Times New Roman" w:hAnsi="Times New Roman" w:cs="Times New Roman"/>
                <w:b/>
                <w:lang w:val="en-US"/>
              </w:rPr>
            </w:pPr>
            <w:r w:rsidRPr="005D02E7">
              <w:rPr>
                <w:rFonts w:ascii="Times New Roman" w:hAnsi="Times New Roman" w:cs="Times New Roman"/>
                <w:b/>
                <w:lang w:val="en-US"/>
              </w:rPr>
              <w:t>&lt;0,001</w:t>
            </w:r>
          </w:p>
        </w:tc>
      </w:tr>
      <w:tr w:rsidR="00E730BF" w:rsidRPr="005D02E7" w14:paraId="40A1350A" w14:textId="77777777" w:rsidTr="004F5373">
        <w:trPr>
          <w:trHeight w:val="175"/>
        </w:trPr>
        <w:tc>
          <w:tcPr>
            <w:tcW w:w="2497" w:type="dxa"/>
            <w:tcBorders>
              <w:top w:val="dotted" w:sz="8" w:space="0" w:color="000000"/>
              <w:left w:val="nil"/>
              <w:bottom w:val="nil"/>
              <w:right w:val="nil"/>
            </w:tcBorders>
            <w:shd w:val="clear" w:color="auto" w:fill="FFFFFF"/>
            <w:tcMar>
              <w:top w:w="15" w:type="dxa"/>
              <w:left w:w="15" w:type="dxa"/>
              <w:bottom w:w="0" w:type="dxa"/>
              <w:right w:w="15" w:type="dxa"/>
            </w:tcMar>
            <w:vAlign w:val="center"/>
            <w:hideMark/>
          </w:tcPr>
          <w:p w14:paraId="28936FCD" w14:textId="77777777" w:rsidR="00E730BF" w:rsidRPr="005D02E7" w:rsidRDefault="00E730BF" w:rsidP="004F5373">
            <w:pPr>
              <w:rPr>
                <w:rFonts w:ascii="Times New Roman" w:hAnsi="Times New Roman" w:cs="Times New Roman"/>
                <w:lang w:val="en-US"/>
              </w:rPr>
            </w:pPr>
            <w:r w:rsidRPr="005D02E7">
              <w:rPr>
                <w:rFonts w:ascii="Times New Roman" w:hAnsi="Times New Roman" w:cs="Times New Roman"/>
                <w:lang w:val="en-US"/>
              </w:rPr>
              <w:t>N inpatient stays</w:t>
            </w:r>
          </w:p>
        </w:tc>
        <w:tc>
          <w:tcPr>
            <w:tcW w:w="1564" w:type="dxa"/>
            <w:tcBorders>
              <w:top w:val="dotted" w:sz="8" w:space="0" w:color="000000"/>
              <w:left w:val="nil"/>
              <w:bottom w:val="nil"/>
              <w:right w:val="nil"/>
            </w:tcBorders>
            <w:shd w:val="clear" w:color="auto" w:fill="FFFFFF"/>
            <w:vAlign w:val="center"/>
          </w:tcPr>
          <w:p w14:paraId="3B34CA43"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5 </w:t>
            </w:r>
            <w:r w:rsidRPr="005D02E7">
              <w:rPr>
                <w:rFonts w:ascii="Times New Roman" w:hAnsi="Times New Roman" w:cs="Times New Roman"/>
                <w:lang w:val="en-US"/>
              </w:rPr>
              <w:br/>
              <w:t>[5; 6]</w:t>
            </w:r>
          </w:p>
        </w:tc>
        <w:tc>
          <w:tcPr>
            <w:tcW w:w="1662" w:type="dxa"/>
            <w:tcBorders>
              <w:top w:val="dotted" w:sz="8" w:space="0" w:color="000000"/>
              <w:left w:val="nil"/>
              <w:bottom w:val="nil"/>
              <w:right w:val="nil"/>
            </w:tcBorders>
            <w:shd w:val="clear" w:color="auto" w:fill="FFFFFF"/>
            <w:vAlign w:val="center"/>
          </w:tcPr>
          <w:p w14:paraId="73404E6B"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5 </w:t>
            </w:r>
            <w:r w:rsidRPr="005D02E7">
              <w:rPr>
                <w:rFonts w:ascii="Times New Roman" w:hAnsi="Times New Roman" w:cs="Times New Roman"/>
                <w:lang w:val="en-US"/>
              </w:rPr>
              <w:br/>
              <w:t>[5; 5]</w:t>
            </w:r>
          </w:p>
        </w:tc>
        <w:tc>
          <w:tcPr>
            <w:tcW w:w="832" w:type="dxa"/>
            <w:tcBorders>
              <w:top w:val="dotted" w:sz="8" w:space="0" w:color="000000"/>
              <w:left w:val="nil"/>
              <w:bottom w:val="nil"/>
              <w:right w:val="dashSmallGap" w:sz="4" w:space="0" w:color="auto"/>
            </w:tcBorders>
            <w:shd w:val="clear" w:color="auto" w:fill="FFFFFF"/>
            <w:vAlign w:val="center"/>
          </w:tcPr>
          <w:p w14:paraId="050D5629"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0.2417</w:t>
            </w:r>
          </w:p>
        </w:tc>
        <w:tc>
          <w:tcPr>
            <w:tcW w:w="1802" w:type="dxa"/>
            <w:tcBorders>
              <w:top w:val="dotted" w:sz="8" w:space="0" w:color="000000"/>
              <w:left w:val="dashSmallGap" w:sz="4" w:space="0" w:color="auto"/>
              <w:bottom w:val="nil"/>
              <w:right w:val="nil"/>
            </w:tcBorders>
            <w:shd w:val="clear" w:color="auto" w:fill="FFFFFF"/>
            <w:tcMar>
              <w:top w:w="15" w:type="dxa"/>
              <w:left w:w="15" w:type="dxa"/>
              <w:bottom w:w="0" w:type="dxa"/>
              <w:right w:w="15" w:type="dxa"/>
            </w:tcMar>
            <w:vAlign w:val="center"/>
            <w:hideMark/>
          </w:tcPr>
          <w:p w14:paraId="6BAF1CF6"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8 </w:t>
            </w:r>
            <w:r w:rsidRPr="005D02E7">
              <w:rPr>
                <w:rFonts w:ascii="Times New Roman" w:hAnsi="Times New Roman" w:cs="Times New Roman"/>
                <w:lang w:val="en-US"/>
              </w:rPr>
              <w:br/>
              <w:t>[7; 8]</w:t>
            </w:r>
          </w:p>
        </w:tc>
        <w:tc>
          <w:tcPr>
            <w:tcW w:w="1662" w:type="dxa"/>
            <w:tcBorders>
              <w:top w:val="dotted" w:sz="8" w:space="0" w:color="000000"/>
              <w:left w:val="nil"/>
              <w:bottom w:val="nil"/>
              <w:right w:val="nil"/>
            </w:tcBorders>
            <w:shd w:val="clear" w:color="auto" w:fill="FFFFFF"/>
            <w:tcMar>
              <w:top w:w="15" w:type="dxa"/>
              <w:left w:w="15" w:type="dxa"/>
              <w:bottom w:w="0" w:type="dxa"/>
              <w:right w:w="15" w:type="dxa"/>
            </w:tcMar>
            <w:vAlign w:val="center"/>
            <w:hideMark/>
          </w:tcPr>
          <w:p w14:paraId="37F700CE"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6 </w:t>
            </w:r>
            <w:r w:rsidRPr="005D02E7">
              <w:rPr>
                <w:rFonts w:ascii="Times New Roman" w:hAnsi="Times New Roman" w:cs="Times New Roman"/>
                <w:lang w:val="en-US"/>
              </w:rPr>
              <w:br/>
              <w:t>[5; 7]</w:t>
            </w:r>
          </w:p>
        </w:tc>
        <w:tc>
          <w:tcPr>
            <w:tcW w:w="832" w:type="dxa"/>
            <w:tcBorders>
              <w:top w:val="dotted" w:sz="8" w:space="0" w:color="000000"/>
              <w:left w:val="nil"/>
              <w:bottom w:val="nil"/>
              <w:right w:val="nil"/>
            </w:tcBorders>
            <w:shd w:val="clear" w:color="auto" w:fill="FFFFFF"/>
            <w:tcMar>
              <w:top w:w="15" w:type="dxa"/>
              <w:left w:w="15" w:type="dxa"/>
              <w:bottom w:w="0" w:type="dxa"/>
              <w:right w:w="15" w:type="dxa"/>
            </w:tcMar>
            <w:vAlign w:val="center"/>
            <w:hideMark/>
          </w:tcPr>
          <w:p w14:paraId="19E6A6FF"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0.009</w:t>
            </w:r>
          </w:p>
        </w:tc>
      </w:tr>
      <w:tr w:rsidR="00E730BF" w:rsidRPr="005D02E7" w14:paraId="27423137" w14:textId="77777777" w:rsidTr="004F5373">
        <w:trPr>
          <w:trHeight w:val="58"/>
        </w:trPr>
        <w:tc>
          <w:tcPr>
            <w:tcW w:w="2497" w:type="dxa"/>
            <w:tcBorders>
              <w:top w:val="nil"/>
              <w:left w:val="nil"/>
              <w:bottom w:val="single" w:sz="4" w:space="0" w:color="auto"/>
              <w:right w:val="nil"/>
            </w:tcBorders>
            <w:shd w:val="clear" w:color="auto" w:fill="FFFFFF"/>
            <w:tcMar>
              <w:top w:w="15" w:type="dxa"/>
              <w:left w:w="15" w:type="dxa"/>
              <w:bottom w:w="0" w:type="dxa"/>
              <w:right w:w="15" w:type="dxa"/>
            </w:tcMar>
            <w:vAlign w:val="center"/>
            <w:hideMark/>
          </w:tcPr>
          <w:p w14:paraId="037CA783" w14:textId="77777777" w:rsidR="00E730BF" w:rsidRPr="005D02E7" w:rsidRDefault="00E730BF" w:rsidP="004F5373">
            <w:pPr>
              <w:rPr>
                <w:rFonts w:ascii="Times New Roman" w:hAnsi="Times New Roman" w:cs="Times New Roman"/>
                <w:lang w:val="en-US"/>
              </w:rPr>
            </w:pPr>
            <w:r w:rsidRPr="005D02E7">
              <w:rPr>
                <w:rFonts w:ascii="Times New Roman" w:hAnsi="Times New Roman" w:cs="Times New Roman"/>
                <w:lang w:val="en-US"/>
              </w:rPr>
              <w:t xml:space="preserve">Total </w:t>
            </w:r>
            <w:r w:rsidRPr="005D02E7">
              <w:rPr>
                <w:rFonts w:ascii="Times New Roman" w:hAnsi="Times New Roman" w:cs="Times New Roman"/>
                <w:lang w:val="en"/>
              </w:rPr>
              <w:t>average</w:t>
            </w:r>
            <w:r>
              <w:rPr>
                <w:rFonts w:ascii="Times New Roman" w:hAnsi="Times New Roman" w:cs="Times New Roman"/>
                <w:lang w:val="en"/>
              </w:rPr>
              <w:t xml:space="preserve"> inpatient</w:t>
            </w:r>
            <w:r w:rsidRPr="005D02E7">
              <w:rPr>
                <w:rFonts w:ascii="Times New Roman" w:hAnsi="Times New Roman" w:cs="Times New Roman"/>
                <w:lang w:val="en"/>
              </w:rPr>
              <w:t xml:space="preserve"> length of stay (days)</w:t>
            </w:r>
          </w:p>
        </w:tc>
        <w:tc>
          <w:tcPr>
            <w:tcW w:w="1564" w:type="dxa"/>
            <w:tcBorders>
              <w:top w:val="nil"/>
              <w:left w:val="nil"/>
              <w:bottom w:val="single" w:sz="4" w:space="0" w:color="auto"/>
              <w:right w:val="nil"/>
            </w:tcBorders>
            <w:shd w:val="clear" w:color="auto" w:fill="FFFFFF"/>
            <w:vAlign w:val="center"/>
          </w:tcPr>
          <w:p w14:paraId="60330F20"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27 </w:t>
            </w:r>
            <w:r w:rsidRPr="005D02E7">
              <w:rPr>
                <w:rFonts w:ascii="Times New Roman" w:hAnsi="Times New Roman" w:cs="Times New Roman"/>
                <w:lang w:val="en-US"/>
              </w:rPr>
              <w:br/>
              <w:t>[25; 30]</w:t>
            </w:r>
          </w:p>
        </w:tc>
        <w:tc>
          <w:tcPr>
            <w:tcW w:w="1662" w:type="dxa"/>
            <w:tcBorders>
              <w:top w:val="nil"/>
              <w:left w:val="nil"/>
              <w:bottom w:val="single" w:sz="4" w:space="0" w:color="auto"/>
              <w:right w:val="nil"/>
            </w:tcBorders>
            <w:shd w:val="clear" w:color="auto" w:fill="FFFFFF"/>
            <w:vAlign w:val="center"/>
          </w:tcPr>
          <w:p w14:paraId="21D823DB"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37 </w:t>
            </w:r>
            <w:r w:rsidRPr="005D02E7">
              <w:rPr>
                <w:rFonts w:ascii="Times New Roman" w:hAnsi="Times New Roman" w:cs="Times New Roman"/>
                <w:lang w:val="en-US"/>
              </w:rPr>
              <w:br/>
              <w:t>[34; 39]</w:t>
            </w:r>
          </w:p>
        </w:tc>
        <w:tc>
          <w:tcPr>
            <w:tcW w:w="832" w:type="dxa"/>
            <w:tcBorders>
              <w:top w:val="nil"/>
              <w:left w:val="nil"/>
              <w:bottom w:val="single" w:sz="4" w:space="0" w:color="auto"/>
              <w:right w:val="dashSmallGap" w:sz="4" w:space="0" w:color="auto"/>
            </w:tcBorders>
            <w:shd w:val="clear" w:color="auto" w:fill="FFFFFF"/>
            <w:vAlign w:val="center"/>
          </w:tcPr>
          <w:p w14:paraId="7BE44B3E"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&lt;0,001</w:t>
            </w:r>
          </w:p>
        </w:tc>
        <w:tc>
          <w:tcPr>
            <w:tcW w:w="1802" w:type="dxa"/>
            <w:tcBorders>
              <w:top w:val="nil"/>
              <w:left w:val="dashSmallGap" w:sz="4" w:space="0" w:color="auto"/>
              <w:bottom w:val="single" w:sz="4" w:space="0" w:color="auto"/>
              <w:right w:val="nil"/>
            </w:tcBorders>
            <w:shd w:val="clear" w:color="auto" w:fill="FFFFFF"/>
            <w:tcMar>
              <w:top w:w="15" w:type="dxa"/>
              <w:left w:w="15" w:type="dxa"/>
              <w:bottom w:w="0" w:type="dxa"/>
              <w:right w:w="15" w:type="dxa"/>
            </w:tcMar>
            <w:vAlign w:val="center"/>
            <w:hideMark/>
          </w:tcPr>
          <w:p w14:paraId="00277CB1"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6 </w:t>
            </w:r>
            <w:r w:rsidRPr="005D02E7">
              <w:rPr>
                <w:rFonts w:ascii="Times New Roman" w:hAnsi="Times New Roman" w:cs="Times New Roman"/>
                <w:lang w:val="en-US"/>
              </w:rPr>
              <w:br/>
              <w:t>[5; 8]</w:t>
            </w:r>
          </w:p>
        </w:tc>
        <w:tc>
          <w:tcPr>
            <w:tcW w:w="1662" w:type="dxa"/>
            <w:tcBorders>
              <w:top w:val="nil"/>
              <w:left w:val="nil"/>
              <w:bottom w:val="single" w:sz="4" w:space="0" w:color="auto"/>
              <w:right w:val="nil"/>
            </w:tcBorders>
            <w:shd w:val="clear" w:color="auto" w:fill="FFFFFF"/>
            <w:tcMar>
              <w:top w:w="15" w:type="dxa"/>
              <w:left w:w="15" w:type="dxa"/>
              <w:bottom w:w="0" w:type="dxa"/>
              <w:right w:w="15" w:type="dxa"/>
            </w:tcMar>
            <w:vAlign w:val="center"/>
            <w:hideMark/>
          </w:tcPr>
          <w:p w14:paraId="05E74CD3"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 xml:space="preserve">26 </w:t>
            </w:r>
            <w:r w:rsidRPr="005D02E7">
              <w:rPr>
                <w:rFonts w:ascii="Times New Roman" w:hAnsi="Times New Roman" w:cs="Times New Roman"/>
                <w:lang w:val="en-US"/>
              </w:rPr>
              <w:br/>
              <w:t>[24; 29]</w:t>
            </w:r>
          </w:p>
        </w:tc>
        <w:tc>
          <w:tcPr>
            <w:tcW w:w="832" w:type="dxa"/>
            <w:tcBorders>
              <w:top w:val="nil"/>
              <w:left w:val="nil"/>
              <w:bottom w:val="single" w:sz="4" w:space="0" w:color="auto"/>
              <w:right w:val="nil"/>
            </w:tcBorders>
            <w:shd w:val="clear" w:color="auto" w:fill="FFFFFF"/>
            <w:tcMar>
              <w:top w:w="15" w:type="dxa"/>
              <w:left w:w="15" w:type="dxa"/>
              <w:bottom w:w="0" w:type="dxa"/>
              <w:right w:w="15" w:type="dxa"/>
            </w:tcMar>
            <w:vAlign w:val="center"/>
            <w:hideMark/>
          </w:tcPr>
          <w:p w14:paraId="157AE8D0" w14:textId="77777777" w:rsidR="00E730BF" w:rsidRPr="005D02E7" w:rsidRDefault="00E730BF" w:rsidP="004F5373">
            <w:pPr>
              <w:jc w:val="center"/>
              <w:rPr>
                <w:rFonts w:ascii="Times New Roman" w:hAnsi="Times New Roman" w:cs="Times New Roman"/>
                <w:lang w:val="en-US"/>
              </w:rPr>
            </w:pPr>
            <w:r w:rsidRPr="005D02E7">
              <w:rPr>
                <w:rFonts w:ascii="Times New Roman" w:hAnsi="Times New Roman" w:cs="Times New Roman"/>
                <w:lang w:val="en-US"/>
              </w:rPr>
              <w:t>&lt;0,001</w:t>
            </w:r>
          </w:p>
        </w:tc>
      </w:tr>
      <w:tr w:rsidR="00E730BF" w:rsidRPr="00113F4B" w14:paraId="52C87502" w14:textId="77777777" w:rsidTr="004F5373">
        <w:trPr>
          <w:trHeight w:val="28"/>
        </w:trPr>
        <w:tc>
          <w:tcPr>
            <w:tcW w:w="10855" w:type="dxa"/>
            <w:gridSpan w:val="7"/>
            <w:tcBorders>
              <w:top w:val="single" w:sz="4" w:space="0" w:color="auto"/>
              <w:left w:val="nil"/>
              <w:right w:val="nil"/>
            </w:tcBorders>
            <w:shd w:val="clear" w:color="auto" w:fill="FFFFFF"/>
            <w:vAlign w:val="center"/>
          </w:tcPr>
          <w:p w14:paraId="3166E0BD" w14:textId="77777777" w:rsidR="00E730BF" w:rsidRPr="005D02E7" w:rsidRDefault="00E730BF" w:rsidP="004F5373">
            <w:pPr>
              <w:rPr>
                <w:rFonts w:ascii="Times New Roman" w:hAnsi="Times New Roman" w:cs="Times New Roman"/>
                <w:lang w:val="en-US"/>
              </w:rPr>
            </w:pPr>
            <w:r w:rsidRPr="005D02E7">
              <w:rPr>
                <w:rFonts w:ascii="Times New Roman" w:hAnsi="Times New Roman" w:cs="Times New Roman"/>
                <w:lang w:val="en-US"/>
              </w:rPr>
              <w:t>AML: Acute myeloid leukemia; HDAC-123: High-dose cytarabine on Days 1, 2, 3; HDAC-135: High-dose cytarabine on Days 1, 3, 5; SDAC: Standard doses of cytarabine associated with a dose of anthracycline; IDAC: Intermediate doses of cytarabine; CI: Confidence interval.</w:t>
            </w:r>
          </w:p>
        </w:tc>
      </w:tr>
    </w:tbl>
    <w:p w14:paraId="6F3DB4B7" w14:textId="77777777" w:rsidR="00E730BF" w:rsidRPr="005D02E7" w:rsidRDefault="00E730BF" w:rsidP="00E730BF">
      <w:pPr>
        <w:rPr>
          <w:rFonts w:ascii="Times New Roman" w:hAnsi="Times New Roman" w:cs="Times New Roman"/>
          <w:lang w:val="en-US"/>
        </w:rPr>
      </w:pPr>
    </w:p>
    <w:p w14:paraId="16FBE2A9" w14:textId="583337F2" w:rsidR="00E730BF" w:rsidRDefault="00E730BF">
      <w:pPr>
        <w:rPr>
          <w:rFonts w:ascii="Times New Roman" w:hAnsi="Times New Roman" w:cs="Times New Roman"/>
          <w:lang w:val="en-US"/>
        </w:rPr>
      </w:pPr>
      <w:r>
        <w:rPr>
          <w:rFonts w:ascii="Times New Roman" w:hAnsi="Times New Roman" w:cs="Times New Roman"/>
          <w:lang w:val="en-US"/>
        </w:rPr>
        <w:br w:type="page"/>
      </w:r>
    </w:p>
    <w:p w14:paraId="52F884A8" w14:textId="1D7348CA" w:rsidR="002418D0" w:rsidRDefault="002418D0" w:rsidP="002418D0">
      <w:pPr>
        <w:rPr>
          <w:rFonts w:ascii="Times New Roman" w:hAnsi="Times New Roman" w:cs="Times New Roman"/>
          <w:lang w:val="en-US"/>
        </w:rPr>
      </w:pPr>
      <w:r>
        <w:rPr>
          <w:noProof/>
        </w:rPr>
        <w:lastRenderedPageBreak/>
        <w:drawing>
          <wp:anchor distT="0" distB="0" distL="114300" distR="114300" simplePos="0" relativeHeight="251667456" behindDoc="0" locked="0" layoutInCell="1" allowOverlap="1" wp14:anchorId="3AF12698" wp14:editId="50626312">
            <wp:simplePos x="0" y="0"/>
            <wp:positionH relativeFrom="column">
              <wp:posOffset>-718820</wp:posOffset>
            </wp:positionH>
            <wp:positionV relativeFrom="paragraph">
              <wp:posOffset>384810</wp:posOffset>
            </wp:positionV>
            <wp:extent cx="676275" cy="676275"/>
            <wp:effectExtent l="0" t="0" r="0" b="9525"/>
            <wp:wrapTopAndBottom/>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eukemia.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6275" cy="6762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697F78D0" wp14:editId="58263101">
            <wp:simplePos x="0" y="0"/>
            <wp:positionH relativeFrom="column">
              <wp:posOffset>5767705</wp:posOffset>
            </wp:positionH>
            <wp:positionV relativeFrom="paragraph">
              <wp:posOffset>365760</wp:posOffset>
            </wp:positionV>
            <wp:extent cx="771525" cy="771525"/>
            <wp:effectExtent l="0" t="0" r="9525" b="9525"/>
            <wp:wrapTopAndBottom/>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ospit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1525" cy="771525"/>
                    </a:xfrm>
                    <a:prstGeom prst="rect">
                      <a:avLst/>
                    </a:prstGeom>
                  </pic:spPr>
                </pic:pic>
              </a:graphicData>
            </a:graphic>
            <wp14:sizeRelH relativeFrom="margin">
              <wp14:pctWidth>0</wp14:pctWidth>
            </wp14:sizeRelH>
            <wp14:sizeRelV relativeFrom="margin">
              <wp14:pctHeight>0</wp14:pctHeight>
            </wp14:sizeRelV>
          </wp:anchor>
        </w:drawing>
      </w:r>
      <w:r w:rsidRPr="004A5DE7">
        <w:rPr>
          <w:b/>
          <w:noProof/>
          <w:lang w:val="en-GB"/>
        </w:rPr>
        <mc:AlternateContent>
          <mc:Choice Requires="wps">
            <w:drawing>
              <wp:anchor distT="0" distB="0" distL="114300" distR="114300" simplePos="0" relativeHeight="251665408" behindDoc="0" locked="0" layoutInCell="1" allowOverlap="1" wp14:anchorId="7C87FE72" wp14:editId="7161B7F3">
                <wp:simplePos x="0" y="0"/>
                <wp:positionH relativeFrom="column">
                  <wp:posOffset>-71120</wp:posOffset>
                </wp:positionH>
                <wp:positionV relativeFrom="paragraph">
                  <wp:posOffset>518160</wp:posOffset>
                </wp:positionV>
                <wp:extent cx="5753100" cy="819150"/>
                <wp:effectExtent l="19050" t="19050" r="19050" b="19050"/>
                <wp:wrapNone/>
                <wp:docPr id="49" name="Rectangle : avec coins supérieurs arrondis 49"/>
                <wp:cNvGraphicFramePr/>
                <a:graphic xmlns:a="http://schemas.openxmlformats.org/drawingml/2006/main">
                  <a:graphicData uri="http://schemas.microsoft.com/office/word/2010/wordprocessingShape">
                    <wps:wsp>
                      <wps:cNvSpPr/>
                      <wps:spPr>
                        <a:xfrm>
                          <a:off x="0" y="0"/>
                          <a:ext cx="5753100" cy="819150"/>
                        </a:xfrm>
                        <a:prstGeom prst="round2SameRect">
                          <a:avLst/>
                        </a:prstGeom>
                        <a:solidFill>
                          <a:schemeClr val="bg1"/>
                        </a:solidFill>
                        <a:ln w="28575">
                          <a:solidFill>
                            <a:srgbClr val="FFC000"/>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D90714C" w14:textId="319843D8" w:rsidR="002418D0" w:rsidRPr="009C26C3" w:rsidRDefault="002418D0" w:rsidP="002418D0">
                            <w:pPr>
                              <w:jc w:val="both"/>
                              <w:rPr>
                                <w:color w:val="000000" w:themeColor="text1"/>
                                <w:sz w:val="24"/>
                                <w:lang w:val="en"/>
                              </w:rPr>
                            </w:pPr>
                            <w:r w:rsidRPr="009C26C3">
                              <w:rPr>
                                <w:color w:val="000000" w:themeColor="text1"/>
                                <w:sz w:val="24"/>
                                <w:lang w:val="en"/>
                              </w:rPr>
                              <w:t xml:space="preserve">Condensed </w:t>
                            </w:r>
                            <w:r w:rsidRPr="00FB4220">
                              <w:rPr>
                                <w:b/>
                                <w:color w:val="000000" w:themeColor="text1"/>
                                <w:sz w:val="24"/>
                                <w:lang w:val="en"/>
                              </w:rPr>
                              <w:t xml:space="preserve">HDAC </w:t>
                            </w:r>
                            <w:r>
                              <w:rPr>
                                <w:b/>
                                <w:color w:val="000000" w:themeColor="text1"/>
                                <w:sz w:val="24"/>
                                <w:lang w:val="en"/>
                              </w:rPr>
                              <w:t>D</w:t>
                            </w:r>
                            <w:r w:rsidRPr="00FB4220">
                              <w:rPr>
                                <w:b/>
                                <w:color w:val="000000" w:themeColor="text1"/>
                                <w:sz w:val="24"/>
                                <w:lang w:val="en"/>
                              </w:rPr>
                              <w:t>ay 123</w:t>
                            </w:r>
                            <w:r w:rsidRPr="009C26C3">
                              <w:rPr>
                                <w:color w:val="000000" w:themeColor="text1"/>
                                <w:sz w:val="24"/>
                                <w:lang w:val="en"/>
                              </w:rPr>
                              <w:t xml:space="preserve"> versus </w:t>
                            </w:r>
                            <w:r w:rsidRPr="00FB4220">
                              <w:rPr>
                                <w:b/>
                                <w:color w:val="000000" w:themeColor="text1"/>
                                <w:sz w:val="24"/>
                                <w:lang w:val="en"/>
                              </w:rPr>
                              <w:t xml:space="preserve">HDAC </w:t>
                            </w:r>
                            <w:r>
                              <w:rPr>
                                <w:b/>
                                <w:color w:val="000000" w:themeColor="text1"/>
                                <w:sz w:val="24"/>
                                <w:lang w:val="en"/>
                              </w:rPr>
                              <w:t>D</w:t>
                            </w:r>
                            <w:r w:rsidRPr="00FB4220">
                              <w:rPr>
                                <w:b/>
                                <w:color w:val="000000" w:themeColor="text1"/>
                                <w:sz w:val="24"/>
                                <w:lang w:val="en"/>
                              </w:rPr>
                              <w:t>ay 135</w:t>
                            </w:r>
                            <w:r w:rsidRPr="009C26C3">
                              <w:rPr>
                                <w:color w:val="000000" w:themeColor="text1"/>
                                <w:sz w:val="24"/>
                                <w:lang w:val="en"/>
                              </w:rPr>
                              <w:t xml:space="preserve"> for younger patients (18-60y) and </w:t>
                            </w:r>
                            <w:r w:rsidRPr="00D25A79">
                              <w:rPr>
                                <w:color w:val="000000" w:themeColor="text1"/>
                                <w:sz w:val="24"/>
                                <w:lang w:val="en"/>
                              </w:rPr>
                              <w:t>outpatient</w:t>
                            </w:r>
                            <w:r w:rsidRPr="00FB4220">
                              <w:rPr>
                                <w:b/>
                                <w:color w:val="000000" w:themeColor="text1"/>
                                <w:sz w:val="24"/>
                                <w:lang w:val="en"/>
                              </w:rPr>
                              <w:t xml:space="preserve"> SDAC/a</w:t>
                            </w:r>
                            <w:r w:rsidRPr="009C26C3">
                              <w:rPr>
                                <w:color w:val="000000" w:themeColor="text1"/>
                                <w:sz w:val="24"/>
                                <w:lang w:val="en"/>
                              </w:rPr>
                              <w:t xml:space="preserve"> versus </w:t>
                            </w:r>
                            <w:r w:rsidRPr="00FB4220">
                              <w:rPr>
                                <w:b/>
                                <w:color w:val="000000" w:themeColor="text1"/>
                                <w:sz w:val="24"/>
                                <w:lang w:val="en"/>
                              </w:rPr>
                              <w:t>IDAC</w:t>
                            </w:r>
                            <w:r w:rsidRPr="009C26C3">
                              <w:rPr>
                                <w:color w:val="000000" w:themeColor="text1"/>
                                <w:sz w:val="24"/>
                                <w:lang w:val="en"/>
                              </w:rPr>
                              <w:t xml:space="preserve"> for older patients (&gt;60y) </w:t>
                            </w:r>
                            <w:r>
                              <w:rPr>
                                <w:color w:val="000000" w:themeColor="text1"/>
                                <w:sz w:val="24"/>
                                <w:lang w:val="en"/>
                              </w:rPr>
                              <w:t xml:space="preserve">for consolidation treatment phase </w:t>
                            </w:r>
                            <w:r w:rsidRPr="009C26C3">
                              <w:rPr>
                                <w:color w:val="000000" w:themeColor="text1"/>
                                <w:sz w:val="24"/>
                                <w:lang w:val="en"/>
                              </w:rPr>
                              <w:t xml:space="preserve">both </w:t>
                            </w:r>
                            <w:r>
                              <w:rPr>
                                <w:color w:val="000000" w:themeColor="text1"/>
                                <w:sz w:val="24"/>
                                <w:lang w:val="en"/>
                              </w:rPr>
                              <w:t xml:space="preserve">lead </w:t>
                            </w:r>
                            <w:r w:rsidRPr="009C26C3">
                              <w:rPr>
                                <w:color w:val="000000" w:themeColor="text1"/>
                                <w:sz w:val="24"/>
                                <w:lang w:val="en"/>
                              </w:rPr>
                              <w:t xml:space="preserve">to similar clinical benefits </w:t>
                            </w:r>
                            <w:r>
                              <w:rPr>
                                <w:color w:val="000000" w:themeColor="text1"/>
                                <w:sz w:val="24"/>
                                <w:lang w:val="en"/>
                              </w:rPr>
                              <w:t xml:space="preserve">and </w:t>
                            </w:r>
                            <w:r w:rsidRPr="00A108EE">
                              <w:rPr>
                                <w:b/>
                                <w:color w:val="000000" w:themeColor="text1"/>
                                <w:sz w:val="24"/>
                                <w:lang w:val="en"/>
                              </w:rPr>
                              <w:t>shorter inpatient stay lengths</w:t>
                            </w:r>
                          </w:p>
                          <w:p w14:paraId="69573E28" w14:textId="77777777" w:rsidR="002418D0" w:rsidRPr="004B6A0D" w:rsidRDefault="002418D0" w:rsidP="002418D0">
                            <w:pPr>
                              <w:jc w:val="both"/>
                              <w:rPr>
                                <w:lang w:val="e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7FE72" id="Rectangle : avec coins supérieurs arrondis 49" o:spid="_x0000_s1026" style="position:absolute;margin-left:-5.6pt;margin-top:40.8pt;width:453pt;height: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53100,8191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" adj="-11796480,,5400" path="m136528,l5616572,v75402,,136528,61126,136528,136528l5753100,819150r,l,819150r,l,136528c,61126,61126,,136528,xe" fillcolor="white [3212]" strokecolor="#ffc000" strokeweight="2.25pt">
                <v:stroke joinstyle="miter"/>
                <v:formulas/>
                <v:path arrowok="t" o:connecttype="custom" o:connectlocs="136528,0;5616572,0;5753100,136528;5753100,819150;5753100,819150;0,819150;0,819150;0,136528;136528,0" o:connectangles="0,0,0,0,0,0,0,0,0" textboxrect="0,0,5753100,819150"/>
                <v:textbox>
                  <w:txbxContent>
                    <w:p w14:paraId="3D90714C" w14:textId="319843D8" w:rsidR="002418D0" w:rsidRPr="009C26C3" w:rsidRDefault="002418D0" w:rsidP="002418D0">
                      <w:pPr>
                        <w:jc w:val="both"/>
                        <w:rPr>
                          <w:color w:val="000000" w:themeColor="text1"/>
                          <w:sz w:val="24"/>
                          <w:lang w:val="en"/>
                        </w:rPr>
                      </w:pPr>
                      <w:r w:rsidRPr="009C26C3">
                        <w:rPr>
                          <w:color w:val="000000" w:themeColor="text1"/>
                          <w:sz w:val="24"/>
                          <w:lang w:val="en"/>
                        </w:rPr>
                        <w:t xml:space="preserve">Condensed </w:t>
                      </w:r>
                      <w:r w:rsidRPr="00FB4220">
                        <w:rPr>
                          <w:b/>
                          <w:color w:val="000000" w:themeColor="text1"/>
                          <w:sz w:val="24"/>
                          <w:lang w:val="en"/>
                        </w:rPr>
                        <w:t xml:space="preserve">HDAC </w:t>
                      </w:r>
                      <w:r>
                        <w:rPr>
                          <w:b/>
                          <w:color w:val="000000" w:themeColor="text1"/>
                          <w:sz w:val="24"/>
                          <w:lang w:val="en"/>
                        </w:rPr>
                        <w:t>D</w:t>
                      </w:r>
                      <w:r w:rsidRPr="00FB4220">
                        <w:rPr>
                          <w:b/>
                          <w:color w:val="000000" w:themeColor="text1"/>
                          <w:sz w:val="24"/>
                          <w:lang w:val="en"/>
                        </w:rPr>
                        <w:t>ay 123</w:t>
                      </w:r>
                      <w:r w:rsidRPr="009C26C3">
                        <w:rPr>
                          <w:color w:val="000000" w:themeColor="text1"/>
                          <w:sz w:val="24"/>
                          <w:lang w:val="en"/>
                        </w:rPr>
                        <w:t xml:space="preserve"> versus </w:t>
                      </w:r>
                      <w:r w:rsidRPr="00FB4220">
                        <w:rPr>
                          <w:b/>
                          <w:color w:val="000000" w:themeColor="text1"/>
                          <w:sz w:val="24"/>
                          <w:lang w:val="en"/>
                        </w:rPr>
                        <w:t xml:space="preserve">HDAC </w:t>
                      </w:r>
                      <w:r>
                        <w:rPr>
                          <w:b/>
                          <w:color w:val="000000" w:themeColor="text1"/>
                          <w:sz w:val="24"/>
                          <w:lang w:val="en"/>
                        </w:rPr>
                        <w:t>D</w:t>
                      </w:r>
                      <w:r w:rsidRPr="00FB4220">
                        <w:rPr>
                          <w:b/>
                          <w:color w:val="000000" w:themeColor="text1"/>
                          <w:sz w:val="24"/>
                          <w:lang w:val="en"/>
                        </w:rPr>
                        <w:t>ay 135</w:t>
                      </w:r>
                      <w:r w:rsidRPr="009C26C3">
                        <w:rPr>
                          <w:color w:val="000000" w:themeColor="text1"/>
                          <w:sz w:val="24"/>
                          <w:lang w:val="en"/>
                        </w:rPr>
                        <w:t xml:space="preserve"> for younger patients (18-60y) and </w:t>
                      </w:r>
                      <w:r w:rsidRPr="00D25A79">
                        <w:rPr>
                          <w:color w:val="000000" w:themeColor="text1"/>
                          <w:sz w:val="24"/>
                          <w:lang w:val="en"/>
                        </w:rPr>
                        <w:t>outpatient</w:t>
                      </w:r>
                      <w:r w:rsidRPr="00FB4220">
                        <w:rPr>
                          <w:b/>
                          <w:color w:val="000000" w:themeColor="text1"/>
                          <w:sz w:val="24"/>
                          <w:lang w:val="en"/>
                        </w:rPr>
                        <w:t xml:space="preserve"> SDAC/a</w:t>
                      </w:r>
                      <w:r w:rsidRPr="009C26C3">
                        <w:rPr>
                          <w:color w:val="000000" w:themeColor="text1"/>
                          <w:sz w:val="24"/>
                          <w:lang w:val="en"/>
                        </w:rPr>
                        <w:t xml:space="preserve"> versus </w:t>
                      </w:r>
                      <w:r w:rsidRPr="00FB4220">
                        <w:rPr>
                          <w:b/>
                          <w:color w:val="000000" w:themeColor="text1"/>
                          <w:sz w:val="24"/>
                          <w:lang w:val="en"/>
                        </w:rPr>
                        <w:t>IDAC</w:t>
                      </w:r>
                      <w:r w:rsidRPr="009C26C3">
                        <w:rPr>
                          <w:color w:val="000000" w:themeColor="text1"/>
                          <w:sz w:val="24"/>
                          <w:lang w:val="en"/>
                        </w:rPr>
                        <w:t xml:space="preserve"> for older patients (&gt;60y) </w:t>
                      </w:r>
                      <w:r>
                        <w:rPr>
                          <w:color w:val="000000" w:themeColor="text1"/>
                          <w:sz w:val="24"/>
                          <w:lang w:val="en"/>
                        </w:rPr>
                        <w:t xml:space="preserve">for consolidation treatment phase </w:t>
                      </w:r>
                      <w:r w:rsidRPr="009C26C3">
                        <w:rPr>
                          <w:color w:val="000000" w:themeColor="text1"/>
                          <w:sz w:val="24"/>
                          <w:lang w:val="en"/>
                        </w:rPr>
                        <w:t xml:space="preserve">both </w:t>
                      </w:r>
                      <w:r>
                        <w:rPr>
                          <w:color w:val="000000" w:themeColor="text1"/>
                          <w:sz w:val="24"/>
                          <w:lang w:val="en"/>
                        </w:rPr>
                        <w:t xml:space="preserve">lead </w:t>
                      </w:r>
                      <w:r w:rsidRPr="009C26C3">
                        <w:rPr>
                          <w:color w:val="000000" w:themeColor="text1"/>
                          <w:sz w:val="24"/>
                          <w:lang w:val="en"/>
                        </w:rPr>
                        <w:t xml:space="preserve">to similar clinical benefits </w:t>
                      </w:r>
                      <w:r>
                        <w:rPr>
                          <w:color w:val="000000" w:themeColor="text1"/>
                          <w:sz w:val="24"/>
                          <w:lang w:val="en"/>
                        </w:rPr>
                        <w:t xml:space="preserve">and </w:t>
                      </w:r>
                      <w:r w:rsidRPr="00A108EE">
                        <w:rPr>
                          <w:b/>
                          <w:color w:val="000000" w:themeColor="text1"/>
                          <w:sz w:val="24"/>
                          <w:lang w:val="en"/>
                        </w:rPr>
                        <w:t>shorter inpatient stay lengths</w:t>
                      </w:r>
                    </w:p>
                    <w:p w14:paraId="69573E28" w14:textId="77777777" w:rsidR="002418D0" w:rsidRPr="004B6A0D" w:rsidRDefault="002418D0" w:rsidP="002418D0">
                      <w:pPr>
                        <w:jc w:val="both"/>
                        <w:rPr>
                          <w:lang w:val="en"/>
                        </w:rPr>
                      </w:pPr>
                    </w:p>
                  </w:txbxContent>
                </v:textbox>
              </v:shape>
            </w:pict>
          </mc:Fallback>
        </mc:AlternateContent>
      </w:r>
      <w:r w:rsidRPr="005D02E7">
        <w:rPr>
          <w:rFonts w:ascii="Times New Roman" w:hAnsi="Times New Roman" w:cs="Times New Roman"/>
          <w:lang w:val="en-US"/>
        </w:rPr>
        <w:t xml:space="preserve">Supplementary </w:t>
      </w:r>
      <w:r w:rsidR="00E73965">
        <w:rPr>
          <w:rFonts w:ascii="Times New Roman" w:hAnsi="Times New Roman" w:cs="Times New Roman"/>
          <w:lang w:val="en-US"/>
        </w:rPr>
        <w:t>figure</w:t>
      </w:r>
      <w:r w:rsidRPr="005D02E7">
        <w:rPr>
          <w:rFonts w:ascii="Times New Roman" w:hAnsi="Times New Roman" w:cs="Times New Roman"/>
          <w:lang w:val="en-US"/>
        </w:rPr>
        <w:t xml:space="preserve"> </w:t>
      </w:r>
      <w:r w:rsidR="00E73965">
        <w:rPr>
          <w:rFonts w:ascii="Times New Roman" w:hAnsi="Times New Roman" w:cs="Times New Roman"/>
          <w:lang w:val="en-US"/>
        </w:rPr>
        <w:t>2</w:t>
      </w:r>
      <w:r w:rsidRPr="005D02E7">
        <w:rPr>
          <w:rFonts w:ascii="Times New Roman" w:hAnsi="Times New Roman" w:cs="Times New Roman"/>
          <w:lang w:val="en-US"/>
        </w:rPr>
        <w:t xml:space="preserve">. AML </w:t>
      </w:r>
      <w:proofErr w:type="gramStart"/>
      <w:r w:rsidRPr="005D02E7">
        <w:rPr>
          <w:rFonts w:ascii="Times New Roman" w:hAnsi="Times New Roman" w:cs="Times New Roman"/>
          <w:lang w:val="en-US"/>
        </w:rPr>
        <w:t>patients</w:t>
      </w:r>
      <w:proofErr w:type="gramEnd"/>
      <w:r w:rsidRPr="005D02E7">
        <w:rPr>
          <w:rFonts w:ascii="Times New Roman" w:hAnsi="Times New Roman" w:cs="Times New Roman"/>
          <w:lang w:val="en-US"/>
        </w:rPr>
        <w:t xml:space="preserve"> post-remission cycle management </w:t>
      </w:r>
      <w:r w:rsidRPr="005D02E7">
        <w:rPr>
          <w:rFonts w:ascii="Times New Roman" w:hAnsi="Times New Roman" w:cs="Times New Roman"/>
          <w:lang w:val="en-GB"/>
        </w:rPr>
        <w:t>depending on age and treatment</w:t>
      </w:r>
    </w:p>
    <w:p w14:paraId="2306121A" w14:textId="77777777" w:rsidR="002418D0" w:rsidRDefault="002418D0" w:rsidP="002418D0">
      <w:pPr>
        <w:rPr>
          <w:noProof/>
          <w:lang w:val="en-US"/>
        </w:rPr>
      </w:pPr>
      <w:r>
        <w:rPr>
          <w:noProof/>
          <w:lang w:val="en-US"/>
        </w:rPr>
        <w:drawing>
          <wp:anchor distT="0" distB="0" distL="114300" distR="114300" simplePos="0" relativeHeight="251668480" behindDoc="0" locked="0" layoutInCell="1" allowOverlap="1" wp14:anchorId="1D53F8F0" wp14:editId="3981D7DE">
            <wp:simplePos x="0" y="0"/>
            <wp:positionH relativeFrom="column">
              <wp:posOffset>-265430</wp:posOffset>
            </wp:positionH>
            <wp:positionV relativeFrom="paragraph">
              <wp:posOffset>1128395</wp:posOffset>
            </wp:positionV>
            <wp:extent cx="6271895" cy="3683000"/>
            <wp:effectExtent l="0" t="0" r="0" b="0"/>
            <wp:wrapSquare wrapText="bothSides"/>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71895" cy="368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B0E1ED" w14:textId="1EBEB80E" w:rsidR="0010250A" w:rsidRPr="005D02E7" w:rsidRDefault="00E73965">
      <w:pPr>
        <w:rPr>
          <w:rFonts w:ascii="Times New Roman" w:hAnsi="Times New Roman" w:cs="Times New Roman"/>
          <w:lang w:val="en-US"/>
        </w:rPr>
      </w:pPr>
      <w:r w:rsidRPr="00E73965">
        <w:rPr>
          <w:rFonts w:ascii="Times New Roman" w:hAnsi="Times New Roman" w:cs="Times New Roman"/>
          <w:noProof/>
          <w:lang w:val="en-US"/>
        </w:rPr>
        <mc:AlternateContent>
          <mc:Choice Requires="wps">
            <w:drawing>
              <wp:anchor distT="45720" distB="45720" distL="114300" distR="114300" simplePos="0" relativeHeight="251670528" behindDoc="0" locked="0" layoutInCell="1" allowOverlap="1" wp14:anchorId="150E35AA" wp14:editId="7FB7D771">
                <wp:simplePos x="0" y="0"/>
                <wp:positionH relativeFrom="column">
                  <wp:posOffset>-487045</wp:posOffset>
                </wp:positionH>
                <wp:positionV relativeFrom="paragraph">
                  <wp:posOffset>4471670</wp:posOffset>
                </wp:positionV>
                <wp:extent cx="1266825" cy="285750"/>
                <wp:effectExtent l="0" t="0" r="9525" b="0"/>
                <wp:wrapSquare wrapText="bothSides"/>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285750"/>
                        </a:xfrm>
                        <a:prstGeom prst="rect">
                          <a:avLst/>
                        </a:prstGeom>
                        <a:solidFill>
                          <a:srgbClr val="FFFFFF"/>
                        </a:solidFill>
                        <a:ln w="9525">
                          <a:noFill/>
                          <a:miter lim="800000"/>
                          <a:headEnd/>
                          <a:tailEnd/>
                        </a:ln>
                      </wps:spPr>
                      <wps:txbx>
                        <w:txbxContent>
                          <w:p w14:paraId="3214778A" w14:textId="77777777" w:rsidR="00E73965" w:rsidRPr="00A108EE" w:rsidRDefault="00E73965" w:rsidP="00E73965">
                            <w:pPr>
                              <w:rPr>
                                <w:b/>
                                <w:sz w:val="24"/>
                                <w:u w:val="single"/>
                                <w:lang w:val="en-GB"/>
                              </w:rPr>
                            </w:pPr>
                            <w:r w:rsidRPr="00A108EE">
                              <w:rPr>
                                <w:b/>
                                <w:sz w:val="24"/>
                                <w:u w:val="single"/>
                                <w:lang w:val="en-GB"/>
                              </w:rPr>
                              <w:t xml:space="preserve">When adjusted: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0E35AA" id="_x0000_t202" coordsize="21600,21600" o:spt="202" path="m,l,21600r21600,l21600,xe">
                <v:stroke joinstyle="miter"/>
                <v:path gradientshapeok="t" o:connecttype="rect"/>
              </v:shapetype>
              <v:shape id="Zone de texte 2" o:spid="_x0000_s1027" type="#_x0000_t202" style="position:absolute;margin-left:-38.35pt;margin-top:352.1pt;width:99.75pt;height:2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" stroked="f">
                <v:textbox>
                  <w:txbxContent>
                    <w:p w14:paraId="3214778A" w14:textId="77777777" w:rsidR="00E73965" w:rsidRPr="00A108EE" w:rsidRDefault="00E73965" w:rsidP="00E73965">
                      <w:pPr>
                        <w:rPr>
                          <w:b/>
                          <w:sz w:val="24"/>
                          <w:u w:val="single"/>
                          <w:lang w:val="en-GB"/>
                        </w:rPr>
                      </w:pPr>
                      <w:r w:rsidRPr="00A108EE">
                        <w:rPr>
                          <w:b/>
                          <w:sz w:val="24"/>
                          <w:u w:val="single"/>
                          <w:lang w:val="en-GB"/>
                        </w:rPr>
                        <w:t xml:space="preserve">When adjusted: </w:t>
                      </w:r>
                    </w:p>
                  </w:txbxContent>
                </v:textbox>
                <w10:wrap type="square"/>
              </v:shape>
            </w:pict>
          </mc:Fallback>
        </mc:AlternateContent>
      </w:r>
      <w:r w:rsidRPr="00E73965">
        <w:rPr>
          <w:rFonts w:ascii="Times New Roman" w:hAnsi="Times New Roman" w:cs="Times New Roman"/>
          <w:noProof/>
          <w:lang w:val="en-US"/>
        </w:rPr>
        <mc:AlternateContent>
          <mc:Choice Requires="wps">
            <w:drawing>
              <wp:anchor distT="0" distB="0" distL="114300" distR="114300" simplePos="0" relativeHeight="251671552" behindDoc="0" locked="0" layoutInCell="1" allowOverlap="1" wp14:anchorId="360701A5" wp14:editId="3C6EBF90">
                <wp:simplePos x="0" y="0"/>
                <wp:positionH relativeFrom="column">
                  <wp:posOffset>757555</wp:posOffset>
                </wp:positionH>
                <wp:positionV relativeFrom="paragraph">
                  <wp:posOffset>3917315</wp:posOffset>
                </wp:positionV>
                <wp:extent cx="2324100" cy="952500"/>
                <wp:effectExtent l="19050" t="19050" r="19050" b="19050"/>
                <wp:wrapNone/>
                <wp:docPr id="3" name="Ellipse 3"/>
                <wp:cNvGraphicFramePr/>
                <a:graphic xmlns:a="http://schemas.openxmlformats.org/drawingml/2006/main">
                  <a:graphicData uri="http://schemas.microsoft.com/office/word/2010/wordprocessingShape">
                    <wps:wsp>
                      <wps:cNvSpPr/>
                      <wps:spPr>
                        <a:xfrm>
                          <a:off x="0" y="0"/>
                          <a:ext cx="2324100" cy="952500"/>
                        </a:xfrm>
                        <a:prstGeom prst="ellipse">
                          <a:avLst/>
                        </a:prstGeom>
                        <a:solidFill>
                          <a:schemeClr val="bg1"/>
                        </a:solid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2920BB" w14:textId="77777777" w:rsidR="00E73965" w:rsidRPr="004A5DE7" w:rsidRDefault="00E73965" w:rsidP="00E73965">
                            <w:pPr>
                              <w:jc w:val="center"/>
                              <w:rPr>
                                <w:color w:val="000000" w:themeColor="text1"/>
                                <w:lang w:val="en-US"/>
                              </w:rPr>
                            </w:pPr>
                            <w:r w:rsidRPr="004A5DE7">
                              <w:rPr>
                                <w:b/>
                                <w:color w:val="000000" w:themeColor="text1"/>
                                <w:lang w:val="en-US"/>
                              </w:rPr>
                              <w:t>HDAC-123</w:t>
                            </w:r>
                            <w:r w:rsidRPr="004A5DE7">
                              <w:rPr>
                                <w:color w:val="000000" w:themeColor="text1"/>
                                <w:lang w:val="en-US"/>
                              </w:rPr>
                              <w:t xml:space="preserve"> leads to a </w:t>
                            </w:r>
                            <w:r w:rsidRPr="004A5DE7">
                              <w:rPr>
                                <w:b/>
                                <w:color w:val="000000" w:themeColor="text1"/>
                                <w:lang w:val="en-US"/>
                              </w:rPr>
                              <w:t>16%</w:t>
                            </w:r>
                            <w:r w:rsidRPr="004A5DE7">
                              <w:rPr>
                                <w:color w:val="000000" w:themeColor="text1"/>
                                <w:lang w:val="en-US"/>
                              </w:rPr>
                              <w:t xml:space="preserve"> decrease in inpatient stay costs </w:t>
                            </w:r>
                          </w:p>
                          <w:p w14:paraId="58D96852" w14:textId="77777777" w:rsidR="00E73965" w:rsidRPr="004A5DE7" w:rsidRDefault="00E73965" w:rsidP="00E73965">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0701A5" id="Ellipse 3" o:spid="_x0000_s1028" style="position:absolute;margin-left:59.65pt;margin-top:308.45pt;width:183pt;height: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" fillcolor="white [3212]" strokecolor="#ffc000" strokeweight="2.25pt">
                <v:stroke joinstyle="miter"/>
                <v:textbox>
                  <w:txbxContent>
                    <w:p w14:paraId="242920BB" w14:textId="77777777" w:rsidR="00E73965" w:rsidRPr="004A5DE7" w:rsidRDefault="00E73965" w:rsidP="00E73965">
                      <w:pPr>
                        <w:jc w:val="center"/>
                        <w:rPr>
                          <w:color w:val="000000" w:themeColor="text1"/>
                          <w:lang w:val="en-US"/>
                        </w:rPr>
                      </w:pPr>
                      <w:r w:rsidRPr="004A5DE7">
                        <w:rPr>
                          <w:b/>
                          <w:color w:val="000000" w:themeColor="text1"/>
                          <w:lang w:val="en-US"/>
                        </w:rPr>
                        <w:t>HDAC-123</w:t>
                      </w:r>
                      <w:r w:rsidRPr="004A5DE7">
                        <w:rPr>
                          <w:color w:val="000000" w:themeColor="text1"/>
                          <w:lang w:val="en-US"/>
                        </w:rPr>
                        <w:t xml:space="preserve"> leads to a </w:t>
                      </w:r>
                      <w:r w:rsidRPr="004A5DE7">
                        <w:rPr>
                          <w:b/>
                          <w:color w:val="000000" w:themeColor="text1"/>
                          <w:lang w:val="en-US"/>
                        </w:rPr>
                        <w:t>16%</w:t>
                      </w:r>
                      <w:r w:rsidRPr="004A5DE7">
                        <w:rPr>
                          <w:color w:val="000000" w:themeColor="text1"/>
                          <w:lang w:val="en-US"/>
                        </w:rPr>
                        <w:t xml:space="preserve"> decrease in inpatient stay costs </w:t>
                      </w:r>
                    </w:p>
                    <w:p w14:paraId="58D96852" w14:textId="77777777" w:rsidR="00E73965" w:rsidRPr="004A5DE7" w:rsidRDefault="00E73965" w:rsidP="00E73965">
                      <w:pPr>
                        <w:jc w:val="center"/>
                        <w:rPr>
                          <w:color w:val="000000" w:themeColor="text1"/>
                          <w:lang w:val="en-US"/>
                        </w:rPr>
                      </w:pPr>
                    </w:p>
                  </w:txbxContent>
                </v:textbox>
              </v:oval>
            </w:pict>
          </mc:Fallback>
        </mc:AlternateContent>
      </w:r>
      <w:r w:rsidRPr="00E73965">
        <w:rPr>
          <w:rFonts w:ascii="Times New Roman" w:hAnsi="Times New Roman" w:cs="Times New Roman"/>
          <w:noProof/>
          <w:lang w:val="en-US"/>
        </w:rPr>
        <mc:AlternateContent>
          <mc:Choice Requires="wps">
            <w:drawing>
              <wp:anchor distT="0" distB="0" distL="114300" distR="114300" simplePos="0" relativeHeight="251672576" behindDoc="0" locked="0" layoutInCell="1" allowOverlap="1" wp14:anchorId="63360AF0" wp14:editId="5B393338">
                <wp:simplePos x="0" y="0"/>
                <wp:positionH relativeFrom="column">
                  <wp:posOffset>3197225</wp:posOffset>
                </wp:positionH>
                <wp:positionV relativeFrom="paragraph">
                  <wp:posOffset>3921125</wp:posOffset>
                </wp:positionV>
                <wp:extent cx="2351405" cy="962025"/>
                <wp:effectExtent l="19050" t="19050" r="10795" b="28575"/>
                <wp:wrapNone/>
                <wp:docPr id="10" name="Ellipse 10"/>
                <wp:cNvGraphicFramePr/>
                <a:graphic xmlns:a="http://schemas.openxmlformats.org/drawingml/2006/main">
                  <a:graphicData uri="http://schemas.microsoft.com/office/word/2010/wordprocessingShape">
                    <wps:wsp>
                      <wps:cNvSpPr/>
                      <wps:spPr>
                        <a:xfrm>
                          <a:off x="0" y="0"/>
                          <a:ext cx="2351405" cy="962025"/>
                        </a:xfrm>
                        <a:prstGeom prst="ellipse">
                          <a:avLst/>
                        </a:prstGeom>
                        <a:solidFill>
                          <a:schemeClr val="bg1"/>
                        </a:solid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19590" w14:textId="77777777" w:rsidR="00E73965" w:rsidRPr="004A5DE7" w:rsidRDefault="00E73965" w:rsidP="00E73965">
                            <w:pPr>
                              <w:jc w:val="center"/>
                              <w:rPr>
                                <w:color w:val="000000" w:themeColor="text1"/>
                                <w:lang w:val="en-US"/>
                              </w:rPr>
                            </w:pPr>
                            <w:r w:rsidRPr="004A5DE7">
                              <w:rPr>
                                <w:b/>
                                <w:color w:val="000000" w:themeColor="text1"/>
                                <w:lang w:val="en-US"/>
                              </w:rPr>
                              <w:t>SDAC/a</w:t>
                            </w:r>
                            <w:r w:rsidRPr="004A5DE7">
                              <w:rPr>
                                <w:color w:val="000000" w:themeColor="text1"/>
                                <w:lang w:val="en-US"/>
                              </w:rPr>
                              <w:t xml:space="preserve"> leads to a </w:t>
                            </w:r>
                            <w:r w:rsidRPr="004A5DE7">
                              <w:rPr>
                                <w:b/>
                                <w:color w:val="000000" w:themeColor="text1"/>
                                <w:lang w:val="en-US"/>
                              </w:rPr>
                              <w:t>76%</w:t>
                            </w:r>
                            <w:r w:rsidRPr="004A5DE7">
                              <w:rPr>
                                <w:color w:val="000000" w:themeColor="text1"/>
                                <w:lang w:val="en-US"/>
                              </w:rPr>
                              <w:t xml:space="preserve"> decrease in inpatient stay costs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360AF0" id="Ellipse 10" o:spid="_x0000_s1029" style="position:absolute;margin-left:251.75pt;margin-top:308.75pt;width:185.15pt;height:7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" fillcolor="white [3212]" strokecolor="#ffc000" strokeweight="2.25pt">
                <v:stroke joinstyle="miter"/>
                <v:textbox>
                  <w:txbxContent>
                    <w:p w14:paraId="0A919590" w14:textId="77777777" w:rsidR="00E73965" w:rsidRPr="004A5DE7" w:rsidRDefault="00E73965" w:rsidP="00E73965">
                      <w:pPr>
                        <w:jc w:val="center"/>
                        <w:rPr>
                          <w:color w:val="000000" w:themeColor="text1"/>
                          <w:lang w:val="en-US"/>
                        </w:rPr>
                      </w:pPr>
                      <w:r w:rsidRPr="004A5DE7">
                        <w:rPr>
                          <w:b/>
                          <w:color w:val="000000" w:themeColor="text1"/>
                          <w:lang w:val="en-US"/>
                        </w:rPr>
                        <w:t>SDAC/a</w:t>
                      </w:r>
                      <w:r w:rsidRPr="004A5DE7">
                        <w:rPr>
                          <w:color w:val="000000" w:themeColor="text1"/>
                          <w:lang w:val="en-US"/>
                        </w:rPr>
                        <w:t xml:space="preserve"> leads to a </w:t>
                      </w:r>
                      <w:r w:rsidRPr="004A5DE7">
                        <w:rPr>
                          <w:b/>
                          <w:color w:val="000000" w:themeColor="text1"/>
                          <w:lang w:val="en-US"/>
                        </w:rPr>
                        <w:t>76%</w:t>
                      </w:r>
                      <w:r w:rsidRPr="004A5DE7">
                        <w:rPr>
                          <w:color w:val="000000" w:themeColor="text1"/>
                          <w:lang w:val="en-US"/>
                        </w:rPr>
                        <w:t xml:space="preserve"> decrease in inpatient stay costs </w:t>
                      </w:r>
                    </w:p>
                  </w:txbxContent>
                </v:textbox>
              </v:oval>
            </w:pict>
          </mc:Fallback>
        </mc:AlternateContent>
      </w:r>
      <w:r w:rsidRPr="00E73965">
        <w:rPr>
          <w:rFonts w:ascii="Times New Roman" w:hAnsi="Times New Roman" w:cs="Times New Roman"/>
          <w:noProof/>
          <w:lang w:val="en-US"/>
        </w:rPr>
        <mc:AlternateContent>
          <mc:Choice Requires="wps">
            <w:drawing>
              <wp:anchor distT="0" distB="0" distL="114300" distR="114300" simplePos="0" relativeHeight="251673600" behindDoc="0" locked="0" layoutInCell="1" allowOverlap="1" wp14:anchorId="7CCD77A2" wp14:editId="352157FC">
                <wp:simplePos x="0" y="0"/>
                <wp:positionH relativeFrom="column">
                  <wp:posOffset>520065</wp:posOffset>
                </wp:positionH>
                <wp:positionV relativeFrom="paragraph">
                  <wp:posOffset>4993005</wp:posOffset>
                </wp:positionV>
                <wp:extent cx="4581525" cy="548640"/>
                <wp:effectExtent l="0" t="0" r="28575" b="22860"/>
                <wp:wrapNone/>
                <wp:docPr id="11" name="Rectangle : avec coins supérieurs arrondis 11"/>
                <wp:cNvGraphicFramePr/>
                <a:graphic xmlns:a="http://schemas.openxmlformats.org/drawingml/2006/main">
                  <a:graphicData uri="http://schemas.microsoft.com/office/word/2010/wordprocessingShape">
                    <wps:wsp>
                      <wps:cNvSpPr/>
                      <wps:spPr>
                        <a:xfrm>
                          <a:off x="0" y="0"/>
                          <a:ext cx="4581525" cy="548640"/>
                        </a:xfrm>
                        <a:prstGeom prst="round2Same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7D66F6D9" w14:textId="77777777" w:rsidR="00E73965" w:rsidRPr="000A2C17" w:rsidRDefault="00E73965" w:rsidP="00E73965">
                            <w:pPr>
                              <w:jc w:val="both"/>
                              <w:rPr>
                                <w:b/>
                                <w:sz w:val="26"/>
                                <w:szCs w:val="26"/>
                                <w:lang w:val="en"/>
                              </w:rPr>
                            </w:pPr>
                            <w:r w:rsidRPr="004A5DE7">
                              <w:rPr>
                                <w:b/>
                                <w:color w:val="000000" w:themeColor="text1"/>
                                <w:sz w:val="26"/>
                                <w:szCs w:val="26"/>
                                <w:lang w:val="en-US"/>
                              </w:rPr>
                              <w:t>Substantial cost savings are attainable during the consolidation treatment phase by using HDAC-123 and SDAC/a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D77A2" id="Rectangle : avec coins supérieurs arrondis 11" o:spid="_x0000_s1030" style="position:absolute;margin-left:40.95pt;margin-top:393.15pt;width:360.75pt;height:4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581525,5486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" adj="-11796480,,5400" path="m91442,l4490083,v50502,,91442,40940,91442,91442l4581525,548640r,l,548640r,l,91442c,40940,40940,,91442,xe" fillcolor="#ffc000 [3207]" strokecolor="#7f5f00 [1607]" strokeweight="1pt">
                <v:stroke joinstyle="miter"/>
                <v:formulas/>
                <v:path arrowok="t" o:connecttype="custom" o:connectlocs="91442,0;4490083,0;4581525,91442;4581525,548640;4581525,548640;0,548640;0,548640;0,91442;91442,0" o:connectangles="0,0,0,0,0,0,0,0,0" textboxrect="0,0,4581525,548640"/>
                <v:textbox>
                  <w:txbxContent>
                    <w:p w14:paraId="7D66F6D9" w14:textId="77777777" w:rsidR="00E73965" w:rsidRPr="000A2C17" w:rsidRDefault="00E73965" w:rsidP="00E73965">
                      <w:pPr>
                        <w:jc w:val="both"/>
                        <w:rPr>
                          <w:b/>
                          <w:sz w:val="26"/>
                          <w:szCs w:val="26"/>
                          <w:lang w:val="en"/>
                        </w:rPr>
                      </w:pPr>
                      <w:r w:rsidRPr="004A5DE7">
                        <w:rPr>
                          <w:b/>
                          <w:color w:val="000000" w:themeColor="text1"/>
                          <w:sz w:val="26"/>
                          <w:szCs w:val="26"/>
                          <w:lang w:val="en-US"/>
                        </w:rPr>
                        <w:t>Substantial cost savings are attainable during the consolidation treatment phase by using HDAC-123 and SDAC/a</w:t>
                      </w:r>
                    </w:p>
                  </w:txbxContent>
                </v:textbox>
              </v:shape>
            </w:pict>
          </mc:Fallback>
        </mc:AlternateContent>
      </w:r>
      <w:r w:rsidRPr="00E73965">
        <w:rPr>
          <w:rFonts w:ascii="Times New Roman" w:hAnsi="Times New Roman" w:cs="Times New Roman"/>
          <w:noProof/>
          <w:lang w:val="en-US"/>
        </w:rPr>
        <w:drawing>
          <wp:anchor distT="0" distB="0" distL="114300" distR="114300" simplePos="0" relativeHeight="251674624" behindDoc="0" locked="0" layoutInCell="1" allowOverlap="1" wp14:anchorId="75A4D82D" wp14:editId="02954FC1">
            <wp:simplePos x="0" y="0"/>
            <wp:positionH relativeFrom="column">
              <wp:posOffset>-372110</wp:posOffset>
            </wp:positionH>
            <wp:positionV relativeFrom="paragraph">
              <wp:posOffset>5161280</wp:posOffset>
            </wp:positionV>
            <wp:extent cx="666750" cy="666750"/>
            <wp:effectExtent l="0" t="0" r="0" b="0"/>
            <wp:wrapTopAndBottom/>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urrency.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6750" cy="666750"/>
                    </a:xfrm>
                    <a:prstGeom prst="rect">
                      <a:avLst/>
                    </a:prstGeom>
                  </pic:spPr>
                </pic:pic>
              </a:graphicData>
            </a:graphic>
            <wp14:sizeRelH relativeFrom="margin">
              <wp14:pctWidth>0</wp14:pctWidth>
            </wp14:sizeRelH>
            <wp14:sizeRelV relativeFrom="margin">
              <wp14:pctHeight>0</wp14:pctHeight>
            </wp14:sizeRelV>
          </wp:anchor>
        </w:drawing>
      </w:r>
      <w:r w:rsidRPr="00E73965">
        <w:rPr>
          <w:rFonts w:ascii="Times New Roman" w:hAnsi="Times New Roman" w:cs="Times New Roman"/>
          <w:noProof/>
          <w:lang w:val="en-US"/>
        </w:rPr>
        <w:drawing>
          <wp:anchor distT="0" distB="0" distL="114300" distR="114300" simplePos="0" relativeHeight="251675648" behindDoc="0" locked="0" layoutInCell="1" allowOverlap="1" wp14:anchorId="15B8BB64" wp14:editId="45B979E2">
            <wp:simplePos x="0" y="0"/>
            <wp:positionH relativeFrom="column">
              <wp:posOffset>5355590</wp:posOffset>
            </wp:positionH>
            <wp:positionV relativeFrom="paragraph">
              <wp:posOffset>5142230</wp:posOffset>
            </wp:positionV>
            <wp:extent cx="666750" cy="666750"/>
            <wp:effectExtent l="0" t="0" r="0" b="0"/>
            <wp:wrapTopAndBottom/>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urrency.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6750" cy="666750"/>
                    </a:xfrm>
                    <a:prstGeom prst="rect">
                      <a:avLst/>
                    </a:prstGeom>
                  </pic:spPr>
                </pic:pic>
              </a:graphicData>
            </a:graphic>
            <wp14:sizeRelH relativeFrom="margin">
              <wp14:pctWidth>0</wp14:pctWidth>
            </wp14:sizeRelH>
            <wp14:sizeRelV relativeFrom="margin">
              <wp14:pctHeight>0</wp14:pctHeight>
            </wp14:sizeRelV>
          </wp:anchor>
        </w:drawing>
      </w:r>
    </w:p>
    <w:sectPr w:rsidR="0010250A" w:rsidRPr="005D02E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4ECD4" w14:textId="77777777" w:rsidR="00993B1A" w:rsidRDefault="00993B1A" w:rsidP="0010250A">
      <w:pPr>
        <w:spacing w:after="0" w:line="240" w:lineRule="auto"/>
      </w:pPr>
      <w:r>
        <w:separator/>
      </w:r>
    </w:p>
  </w:endnote>
  <w:endnote w:type="continuationSeparator" w:id="0">
    <w:p w14:paraId="553608BE" w14:textId="77777777" w:rsidR="00993B1A" w:rsidRDefault="00993B1A" w:rsidP="00102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E33E08" w14:textId="77777777" w:rsidR="00993B1A" w:rsidRDefault="00993B1A" w:rsidP="0010250A">
      <w:pPr>
        <w:spacing w:after="0" w:line="240" w:lineRule="auto"/>
      </w:pPr>
      <w:r>
        <w:separator/>
      </w:r>
    </w:p>
  </w:footnote>
  <w:footnote w:type="continuationSeparator" w:id="0">
    <w:p w14:paraId="37381257" w14:textId="77777777" w:rsidR="00993B1A" w:rsidRDefault="00993B1A" w:rsidP="001025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04F"/>
    <w:rsid w:val="0009204F"/>
    <w:rsid w:val="0010250A"/>
    <w:rsid w:val="00113F4B"/>
    <w:rsid w:val="00164743"/>
    <w:rsid w:val="00226A16"/>
    <w:rsid w:val="002418D0"/>
    <w:rsid w:val="00282AF8"/>
    <w:rsid w:val="00343026"/>
    <w:rsid w:val="00396EDA"/>
    <w:rsid w:val="0043582A"/>
    <w:rsid w:val="004A5A78"/>
    <w:rsid w:val="0053060E"/>
    <w:rsid w:val="005B206A"/>
    <w:rsid w:val="005D02E7"/>
    <w:rsid w:val="00655643"/>
    <w:rsid w:val="006A4DF0"/>
    <w:rsid w:val="00746AC5"/>
    <w:rsid w:val="007A0DD0"/>
    <w:rsid w:val="007E1565"/>
    <w:rsid w:val="008126DF"/>
    <w:rsid w:val="008F3E97"/>
    <w:rsid w:val="00993B1A"/>
    <w:rsid w:val="00997FF6"/>
    <w:rsid w:val="009E3808"/>
    <w:rsid w:val="00AF1AFA"/>
    <w:rsid w:val="00B91252"/>
    <w:rsid w:val="00BF0717"/>
    <w:rsid w:val="00CA68D7"/>
    <w:rsid w:val="00D036B3"/>
    <w:rsid w:val="00DC0C7F"/>
    <w:rsid w:val="00E14010"/>
    <w:rsid w:val="00E730BF"/>
    <w:rsid w:val="00E73965"/>
    <w:rsid w:val="00ED7BD9"/>
    <w:rsid w:val="00FC0FD9"/>
    <w:rsid w:val="00FF35A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05F09"/>
  <w15:chartTrackingRefBased/>
  <w15:docId w15:val="{46D800EF-DA90-4EEA-A477-9D6F8AB21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0250A"/>
    <w:pPr>
      <w:tabs>
        <w:tab w:val="center" w:pos="4536"/>
        <w:tab w:val="right" w:pos="9072"/>
      </w:tabs>
      <w:spacing w:after="0" w:line="240" w:lineRule="auto"/>
    </w:pPr>
  </w:style>
  <w:style w:type="character" w:customStyle="1" w:styleId="En-tteCar">
    <w:name w:val="En-tête Car"/>
    <w:basedOn w:val="Policepardfaut"/>
    <w:link w:val="En-tte"/>
    <w:uiPriority w:val="99"/>
    <w:rsid w:val="0010250A"/>
  </w:style>
  <w:style w:type="paragraph" w:styleId="Pieddepage">
    <w:name w:val="footer"/>
    <w:basedOn w:val="Normal"/>
    <w:link w:val="PieddepageCar"/>
    <w:uiPriority w:val="99"/>
    <w:unhideWhenUsed/>
    <w:rsid w:val="0010250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02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5</Pages>
  <Words>1232</Words>
  <Characters>6780</Characters>
  <Application>Microsoft Office Word</Application>
  <DocSecurity>0</DocSecurity>
  <Lines>56</Lines>
  <Paragraphs>15</Paragraphs>
  <ScaleCrop>false</ScaleCrop>
  <HeadingPairs>
    <vt:vector size="2" baseType="variant">
      <vt:variant>
        <vt:lpstr>Titre</vt:lpstr>
      </vt:variant>
      <vt:variant>
        <vt:i4>1</vt:i4>
      </vt:variant>
    </vt:vector>
  </HeadingPairs>
  <TitlesOfParts>
    <vt:vector size="1" baseType="lpstr">
      <vt:lpstr/>
    </vt:vector>
  </TitlesOfParts>
  <Company>CHU Toulouse</Company>
  <LinksUpToDate>false</LinksUpToDate>
  <CharactersWithSpaces>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MOUNIE Mickael</dc:creator>
  <cp:keywords/>
  <dc:description/>
  <cp:lastModifiedBy>MOUNIE Mickael</cp:lastModifiedBy>
  <cp:revision>17</cp:revision>
  <dcterms:created xsi:type="dcterms:W3CDTF">2023-05-22T07:17:00Z</dcterms:created>
  <dcterms:modified xsi:type="dcterms:W3CDTF">2023-05-30T09:00:00Z</dcterms:modified>
</cp:coreProperties>
</file>