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Ex1.xml" ContentType="application/vnd.ms-office.chartex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1543E" w:rsidRDefault="0091543E" w:rsidP="0091543E">
      <w:pPr>
        <w:spacing w:after="0" w:line="240" w:lineRule="auto"/>
        <w:ind w:left="720"/>
        <w:rPr>
          <w:rFonts w:cs="Times New Roman"/>
          <w:color w:val="000000"/>
          <w:szCs w:val="24"/>
        </w:rPr>
      </w:pPr>
    </w:p>
    <w:p w:rsidR="004C1592" w:rsidRPr="009D3FCF" w:rsidRDefault="000D1196" w:rsidP="008B2265">
      <w:pPr>
        <w:spacing w:after="0" w:line="240" w:lineRule="auto"/>
        <w:ind w:left="720" w:firstLine="720"/>
        <w:rPr>
          <w:rFonts w:cs="Times New Roman"/>
          <w:szCs w:val="24"/>
        </w:rPr>
      </w:pPr>
      <w:r>
        <w:rPr>
          <w:noProof/>
        </w:rPr>
        <mc:AlternateContent>
          <mc:Choice Requires="cx1">
            <w:drawing>
              <wp:inline distT="0" distB="0" distL="0" distR="0" wp14:anchorId="0B8ECD0D" wp14:editId="005D1BD5">
                <wp:extent cx="7448550" cy="4676775"/>
                <wp:effectExtent l="0" t="0" r="0" b="9525"/>
                <wp:docPr id="1" name="Chart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7350171E-F43A-3EE1-B16E-6D5CA93A93C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5"/>
                  </a:graphicData>
                </a:graphic>
              </wp:inline>
            </w:drawing>
          </mc:Choice>
          <mc:Fallback>
            <w:drawing>
              <wp:inline distT="0" distB="0" distL="0" distR="0" wp14:anchorId="0B8ECD0D" wp14:editId="005D1BD5">
                <wp:extent cx="7448550" cy="4676775"/>
                <wp:effectExtent l="0" t="0" r="0" b="9525"/>
                <wp:docPr id="1" name="Chart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7350171E-F43A-3EE1-B16E-6D5CA93A93C4}"/>
                    </a:ext>
                  </a:extLst>
                </wp:docPr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Chart 1">
                          <a:extLst>
                            <a:ext uri="{FF2B5EF4-FFF2-40B4-BE49-F238E27FC236}">
                              <a16:creationId xmlns:a16="http://schemas.microsoft.com/office/drawing/2014/main" id="{7350171E-F43A-3EE1-B16E-6D5CA93A93C4}"/>
                            </a:ext>
                          </a:extLst>
                        </pic:cNvPr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48550" cy="467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4C1592" w:rsidRPr="009D3FCF" w:rsidRDefault="004C1592" w:rsidP="004C1592">
      <w:pPr>
        <w:pStyle w:val="NormalWeb"/>
        <w:spacing w:before="0" w:beforeAutospacing="0" w:after="0" w:afterAutospacing="0"/>
        <w:rPr>
          <w:kern w:val="24"/>
        </w:rPr>
      </w:pPr>
    </w:p>
    <w:p w:rsidR="006E79C5" w:rsidRDefault="00164357" w:rsidP="000F1AD1">
      <w:pPr>
        <w:rPr>
          <w:rFonts w:cs="Times New Roman"/>
          <w:color w:val="000000"/>
          <w:szCs w:val="24"/>
        </w:rPr>
      </w:pPr>
      <w:r w:rsidRPr="00E60ED5">
        <w:rPr>
          <w:rFonts w:cs="Times New Roman"/>
          <w:color w:val="000000"/>
          <w:szCs w:val="24"/>
        </w:rPr>
        <w:t xml:space="preserve">Supplementary </w:t>
      </w:r>
      <w:r w:rsidR="009B3E13" w:rsidRPr="00E60ED5">
        <w:rPr>
          <w:rFonts w:cs="Times New Roman"/>
          <w:color w:val="000000"/>
          <w:szCs w:val="24"/>
        </w:rPr>
        <w:t xml:space="preserve">Figure </w:t>
      </w:r>
      <w:r w:rsidR="004C1592" w:rsidRPr="00E60ED5">
        <w:rPr>
          <w:rFonts w:cs="Times New Roman"/>
          <w:color w:val="000000"/>
          <w:szCs w:val="24"/>
        </w:rPr>
        <w:t>2</w:t>
      </w:r>
      <w:r w:rsidRPr="00E60ED5">
        <w:rPr>
          <w:rFonts w:cs="Times New Roman"/>
          <w:color w:val="000000"/>
          <w:szCs w:val="24"/>
        </w:rPr>
        <w:t xml:space="preserve"> </w:t>
      </w:r>
      <w:r w:rsidR="00C86603" w:rsidRPr="00E60ED5">
        <w:rPr>
          <w:rFonts w:cs="Times New Roman"/>
          <w:color w:val="000000"/>
          <w:szCs w:val="24"/>
        </w:rPr>
        <w:t>Box plot</w:t>
      </w:r>
      <w:r w:rsidR="00C86603">
        <w:rPr>
          <w:rFonts w:cs="Times New Roman"/>
          <w:color w:val="000000"/>
          <w:szCs w:val="24"/>
        </w:rPr>
        <w:t xml:space="preserve"> showing the d</w:t>
      </w:r>
      <w:r w:rsidR="009B3E13">
        <w:rPr>
          <w:rFonts w:cs="Times New Roman"/>
          <w:color w:val="000000"/>
          <w:szCs w:val="24"/>
        </w:rPr>
        <w:t>istribution of ℽH2AX foci among individuals aged</w:t>
      </w:r>
      <w:r w:rsidR="008B2265">
        <w:rPr>
          <w:rFonts w:cs="Times New Roman"/>
          <w:color w:val="000000"/>
          <w:szCs w:val="24"/>
        </w:rPr>
        <w:t xml:space="preserve"> &lt; 4</w:t>
      </w:r>
      <w:r w:rsidR="009B3E13">
        <w:rPr>
          <w:rFonts w:cs="Times New Roman"/>
          <w:color w:val="000000"/>
          <w:szCs w:val="24"/>
        </w:rPr>
        <w:t xml:space="preserve">0 </w:t>
      </w:r>
      <w:r w:rsidR="008B2265">
        <w:rPr>
          <w:rFonts w:cs="Times New Roman"/>
          <w:color w:val="000000"/>
          <w:szCs w:val="24"/>
        </w:rPr>
        <w:t xml:space="preserve">years </w:t>
      </w:r>
      <w:r w:rsidR="009B3E13">
        <w:rPr>
          <w:rFonts w:cs="Times New Roman"/>
          <w:color w:val="000000"/>
          <w:szCs w:val="24"/>
        </w:rPr>
        <w:t xml:space="preserve">and </w:t>
      </w:r>
      <w:r w:rsidR="008B2265">
        <w:rPr>
          <w:rFonts w:cs="Times New Roman"/>
          <w:color w:val="000000"/>
          <w:szCs w:val="24"/>
        </w:rPr>
        <w:t>≥</w:t>
      </w:r>
      <w:r w:rsidR="009B3E13">
        <w:rPr>
          <w:rFonts w:cs="Times New Roman"/>
          <w:color w:val="000000"/>
          <w:szCs w:val="24"/>
        </w:rPr>
        <w:t xml:space="preserve">40 years </w:t>
      </w:r>
      <w:r w:rsidR="00387944">
        <w:rPr>
          <w:rFonts w:cs="Times New Roman"/>
          <w:color w:val="000000"/>
          <w:szCs w:val="24"/>
        </w:rPr>
        <w:t xml:space="preserve">in </w:t>
      </w:r>
      <w:r w:rsidR="000D1196">
        <w:rPr>
          <w:rFonts w:cs="Times New Roman"/>
          <w:color w:val="000000"/>
          <w:szCs w:val="24"/>
        </w:rPr>
        <w:t xml:space="preserve">five </w:t>
      </w:r>
      <w:r w:rsidR="009B3E13">
        <w:rPr>
          <w:rFonts w:cs="Times New Roman"/>
          <w:color w:val="000000"/>
          <w:szCs w:val="24"/>
        </w:rPr>
        <w:t xml:space="preserve">different radiation dose </w:t>
      </w:r>
      <w:r w:rsidR="00387944">
        <w:rPr>
          <w:rFonts w:cs="Times New Roman"/>
          <w:color w:val="000000"/>
          <w:szCs w:val="24"/>
        </w:rPr>
        <w:t>groups (≤1.5, 1.51-5.0, 5.01-10.0, 10.</w:t>
      </w:r>
      <w:r w:rsidR="008B2265">
        <w:rPr>
          <w:rFonts w:cs="Times New Roman"/>
          <w:color w:val="000000"/>
          <w:szCs w:val="24"/>
        </w:rPr>
        <w:t>0</w:t>
      </w:r>
      <w:r w:rsidR="00387944">
        <w:rPr>
          <w:rFonts w:cs="Times New Roman"/>
          <w:color w:val="000000"/>
          <w:szCs w:val="24"/>
        </w:rPr>
        <w:t>1-15.0,</w:t>
      </w:r>
      <w:r w:rsidR="000D1196">
        <w:rPr>
          <w:rFonts w:cs="Times New Roman"/>
          <w:color w:val="000000"/>
          <w:szCs w:val="24"/>
        </w:rPr>
        <w:t xml:space="preserve"> </w:t>
      </w:r>
      <w:r w:rsidR="00387944">
        <w:rPr>
          <w:rFonts w:cs="Times New Roman"/>
          <w:color w:val="000000"/>
          <w:szCs w:val="24"/>
        </w:rPr>
        <w:t>and &gt;</w:t>
      </w:r>
      <w:r w:rsidR="000D1196">
        <w:rPr>
          <w:rFonts w:cs="Times New Roman"/>
          <w:color w:val="000000"/>
          <w:szCs w:val="24"/>
        </w:rPr>
        <w:t>15</w:t>
      </w:r>
      <w:r w:rsidR="00387944">
        <w:rPr>
          <w:rFonts w:cs="Times New Roman"/>
          <w:color w:val="000000"/>
          <w:szCs w:val="24"/>
        </w:rPr>
        <w:t xml:space="preserve">.0 </w:t>
      </w:r>
      <w:proofErr w:type="spellStart"/>
      <w:r w:rsidR="00387944">
        <w:rPr>
          <w:rFonts w:cs="Times New Roman"/>
          <w:color w:val="000000"/>
          <w:szCs w:val="24"/>
        </w:rPr>
        <w:t>mGy</w:t>
      </w:r>
      <w:proofErr w:type="spellEnd"/>
      <w:r w:rsidR="00387944">
        <w:rPr>
          <w:rFonts w:cs="Times New Roman"/>
          <w:color w:val="000000"/>
          <w:szCs w:val="24"/>
        </w:rPr>
        <w:t>/year)</w:t>
      </w:r>
      <w:r w:rsidR="0091543E">
        <w:rPr>
          <w:rFonts w:cs="Times New Roman"/>
          <w:color w:val="000000"/>
          <w:szCs w:val="24"/>
        </w:rPr>
        <w:t>.</w:t>
      </w:r>
      <w:r w:rsidR="00387944">
        <w:rPr>
          <w:rFonts w:cs="Times New Roman"/>
          <w:color w:val="000000"/>
          <w:szCs w:val="24"/>
        </w:rPr>
        <w:t xml:space="preserve"> </w:t>
      </w:r>
    </w:p>
    <w:p w:rsidR="00E25BFA" w:rsidRDefault="00E25BFA">
      <w:pPr>
        <w:rPr>
          <w:noProof/>
          <w:lang w:eastAsia="en-IN"/>
        </w:rPr>
      </w:pPr>
    </w:p>
    <w:sectPr w:rsidR="00E25BFA" w:rsidSect="003F39E4">
      <w:pgSz w:w="16838" w:h="11906" w:orient="landscape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19BE"/>
    <w:rsid w:val="0000127D"/>
    <w:rsid w:val="0005378F"/>
    <w:rsid w:val="000D1196"/>
    <w:rsid w:val="000D7F35"/>
    <w:rsid w:val="000E1BFA"/>
    <w:rsid w:val="000F1AD1"/>
    <w:rsid w:val="001025D0"/>
    <w:rsid w:val="00102C29"/>
    <w:rsid w:val="001401B6"/>
    <w:rsid w:val="00146D85"/>
    <w:rsid w:val="00161FC6"/>
    <w:rsid w:val="00163C24"/>
    <w:rsid w:val="00164357"/>
    <w:rsid w:val="0018595E"/>
    <w:rsid w:val="00196ECA"/>
    <w:rsid w:val="001C46FA"/>
    <w:rsid w:val="001C5CEA"/>
    <w:rsid w:val="00212604"/>
    <w:rsid w:val="00227572"/>
    <w:rsid w:val="002C0B24"/>
    <w:rsid w:val="002C0EE8"/>
    <w:rsid w:val="003036D1"/>
    <w:rsid w:val="003431AF"/>
    <w:rsid w:val="00387944"/>
    <w:rsid w:val="00396154"/>
    <w:rsid w:val="003B0E5A"/>
    <w:rsid w:val="003F39E4"/>
    <w:rsid w:val="00477015"/>
    <w:rsid w:val="004902DC"/>
    <w:rsid w:val="004A44ED"/>
    <w:rsid w:val="004B4D49"/>
    <w:rsid w:val="004C1592"/>
    <w:rsid w:val="004D49A2"/>
    <w:rsid w:val="004D6C1E"/>
    <w:rsid w:val="004E1F1B"/>
    <w:rsid w:val="004F1D13"/>
    <w:rsid w:val="00563377"/>
    <w:rsid w:val="005A52A0"/>
    <w:rsid w:val="00612748"/>
    <w:rsid w:val="00621EA2"/>
    <w:rsid w:val="0062413B"/>
    <w:rsid w:val="006503A7"/>
    <w:rsid w:val="0066552C"/>
    <w:rsid w:val="006677B3"/>
    <w:rsid w:val="006751E3"/>
    <w:rsid w:val="00681CBF"/>
    <w:rsid w:val="006B4CC0"/>
    <w:rsid w:val="006C5DD5"/>
    <w:rsid w:val="006C7263"/>
    <w:rsid w:val="006E4F55"/>
    <w:rsid w:val="006E79C5"/>
    <w:rsid w:val="00714032"/>
    <w:rsid w:val="00720C2F"/>
    <w:rsid w:val="00741728"/>
    <w:rsid w:val="00743F7E"/>
    <w:rsid w:val="00744BC6"/>
    <w:rsid w:val="00787B29"/>
    <w:rsid w:val="007B1919"/>
    <w:rsid w:val="007B31A9"/>
    <w:rsid w:val="007E03C1"/>
    <w:rsid w:val="007F09FA"/>
    <w:rsid w:val="00813DE8"/>
    <w:rsid w:val="00817D79"/>
    <w:rsid w:val="00836277"/>
    <w:rsid w:val="00850B47"/>
    <w:rsid w:val="00891A4B"/>
    <w:rsid w:val="008B2265"/>
    <w:rsid w:val="008B3DB5"/>
    <w:rsid w:val="008E19BE"/>
    <w:rsid w:val="0090073E"/>
    <w:rsid w:val="00911A48"/>
    <w:rsid w:val="0091543E"/>
    <w:rsid w:val="00970133"/>
    <w:rsid w:val="009747E6"/>
    <w:rsid w:val="009A3E9E"/>
    <w:rsid w:val="009B3E13"/>
    <w:rsid w:val="009D3FCF"/>
    <w:rsid w:val="00A24F60"/>
    <w:rsid w:val="00A45D9B"/>
    <w:rsid w:val="00A743A9"/>
    <w:rsid w:val="00AB52FC"/>
    <w:rsid w:val="00AD36EA"/>
    <w:rsid w:val="00B4573C"/>
    <w:rsid w:val="00B83A69"/>
    <w:rsid w:val="00BD1EDB"/>
    <w:rsid w:val="00BE13E6"/>
    <w:rsid w:val="00C02BC7"/>
    <w:rsid w:val="00C44EAD"/>
    <w:rsid w:val="00C55F36"/>
    <w:rsid w:val="00C6627C"/>
    <w:rsid w:val="00C857CC"/>
    <w:rsid w:val="00C86603"/>
    <w:rsid w:val="00CA4D6E"/>
    <w:rsid w:val="00CC3E76"/>
    <w:rsid w:val="00D14C51"/>
    <w:rsid w:val="00D4277E"/>
    <w:rsid w:val="00D5555D"/>
    <w:rsid w:val="00D83F5C"/>
    <w:rsid w:val="00DF1651"/>
    <w:rsid w:val="00E25BFA"/>
    <w:rsid w:val="00E40370"/>
    <w:rsid w:val="00E537DB"/>
    <w:rsid w:val="00E60ED5"/>
    <w:rsid w:val="00E934DE"/>
    <w:rsid w:val="00E94E0D"/>
    <w:rsid w:val="00E9532F"/>
    <w:rsid w:val="00F231C7"/>
    <w:rsid w:val="00F32233"/>
    <w:rsid w:val="00F51564"/>
    <w:rsid w:val="00F775E3"/>
    <w:rsid w:val="00FA5A45"/>
    <w:rsid w:val="00FE3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15F06"/>
  <w15:docId w15:val="{5728E5FA-270B-4656-B505-C84927B65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19BE"/>
    <w:rPr>
      <w:rFonts w:ascii="Times New Roman" w:hAnsi="Times New Roman" w:cs="Mang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34DE"/>
    <w:pPr>
      <w:spacing w:after="0" w:line="240" w:lineRule="auto"/>
    </w:pPr>
    <w:rPr>
      <w:rFonts w:ascii="Segoe UI" w:hAnsi="Segoe UI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4DE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4F1D13"/>
    <w:pPr>
      <w:spacing w:before="100" w:beforeAutospacing="1" w:after="100" w:afterAutospacing="1" w:line="240" w:lineRule="auto"/>
    </w:pPr>
    <w:rPr>
      <w:rFonts w:eastAsiaTheme="minorEastAsia" w:cs="Times New Roman"/>
      <w:szCs w:val="24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2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microsoft.com/office/2014/relationships/chartEx" Target="charts/chartEx1.xml"/><Relationship Id="rId4" Type="http://schemas.openxmlformats.org/officeDocument/2006/relationships/webSettings" Target="webSettings.xml"/></Relationships>
</file>

<file path=word/charts/_rels/chartEx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D:\consult\2019\Vinay\email%2003.09.2020\Manuscript\mail%2010.11.22\mail%2028.12.2022\05.01.2023\Review1\new%20box%20plot%20freq%20and%20age40.xlsx" TargetMode="External"/></Relationships>
</file>

<file path=word/charts/chartEx1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'data1 (2)'!$Y$2:$Y$116</cx:f>
        <cx:lvl ptCount="115">
          <cx:pt idx="0">≤ 1.50</cx:pt>
          <cx:pt idx="1">≤ 1.50</cx:pt>
          <cx:pt idx="2">≤ 1.50</cx:pt>
          <cx:pt idx="3">≤ 1.50</cx:pt>
          <cx:pt idx="4">≤ 1.50</cx:pt>
          <cx:pt idx="5">≤ 1.50</cx:pt>
          <cx:pt idx="6">≤ 1.50</cx:pt>
          <cx:pt idx="7">≤ 1.50</cx:pt>
          <cx:pt idx="8">≤ 1.50</cx:pt>
          <cx:pt idx="9">≤ 1.50</cx:pt>
          <cx:pt idx="10">≤ 1.50</cx:pt>
          <cx:pt idx="11">≤ 1.50</cx:pt>
          <cx:pt idx="12">≤ 1.50</cx:pt>
          <cx:pt idx="13">≤ 1.50</cx:pt>
          <cx:pt idx="14">≤ 1.50</cx:pt>
          <cx:pt idx="15">≤ 1.50</cx:pt>
          <cx:pt idx="16">≤ 1.50</cx:pt>
          <cx:pt idx="17">≤ 1.50</cx:pt>
          <cx:pt idx="18">≤ 1.50</cx:pt>
          <cx:pt idx="19">≤ 1.50</cx:pt>
          <cx:pt idx="20">≤ 1.50</cx:pt>
          <cx:pt idx="21">≤ 1.50</cx:pt>
          <cx:pt idx="22">≤ 1.50</cx:pt>
          <cx:pt idx="23">≤ 1.50</cx:pt>
          <cx:pt idx="24">≤ 1.50</cx:pt>
          <cx:pt idx="25">≤ 1.50</cx:pt>
          <cx:pt idx="26">≤ 1.50</cx:pt>
          <cx:pt idx="27">1.51-5.0</cx:pt>
          <cx:pt idx="28">1.51-5.0</cx:pt>
          <cx:pt idx="29">1.51-5.0</cx:pt>
          <cx:pt idx="30">1.51-5.0</cx:pt>
          <cx:pt idx="31">1.51-5.0</cx:pt>
          <cx:pt idx="32">1.51-5.0</cx:pt>
          <cx:pt idx="33">1.51-5.0</cx:pt>
          <cx:pt idx="34">1.51-5.0</cx:pt>
          <cx:pt idx="35">1.51-5.0</cx:pt>
          <cx:pt idx="36">1.51-5.0</cx:pt>
          <cx:pt idx="37">1.51-5.0</cx:pt>
          <cx:pt idx="38">1.51-5.0</cx:pt>
          <cx:pt idx="39">1.51-5.0</cx:pt>
          <cx:pt idx="40">1.51-5.0</cx:pt>
          <cx:pt idx="41">1.51-5.0</cx:pt>
          <cx:pt idx="42">1.51-5.0</cx:pt>
          <cx:pt idx="43">1.51-5.0</cx:pt>
          <cx:pt idx="44">1.51-5.0</cx:pt>
          <cx:pt idx="45">1.51-5.0</cx:pt>
          <cx:pt idx="46">1.51-5.0</cx:pt>
          <cx:pt idx="47">1.51-5.0</cx:pt>
          <cx:pt idx="48">1.51-5.0</cx:pt>
          <cx:pt idx="49">1.51-5.0</cx:pt>
          <cx:pt idx="50">1.51-5.0</cx:pt>
          <cx:pt idx="51">1.51-5.0</cx:pt>
          <cx:pt idx="52">1.51-5.0</cx:pt>
          <cx:pt idx="53">1.51-5.0</cx:pt>
          <cx:pt idx="54">1.51-5.0</cx:pt>
          <cx:pt idx="55">1.51-5.0</cx:pt>
          <cx:pt idx="56">1.51-5.0</cx:pt>
          <cx:pt idx="57">1.51-5.0</cx:pt>
          <cx:pt idx="58">1.51-5.0</cx:pt>
          <cx:pt idx="59">1.51-5.0</cx:pt>
          <cx:pt idx="60">5.01-10.0</cx:pt>
          <cx:pt idx="61">5.01-10.0</cx:pt>
          <cx:pt idx="62">5.01-10.0</cx:pt>
          <cx:pt idx="63">5.01-10.0</cx:pt>
          <cx:pt idx="64">5.01-10.0</cx:pt>
          <cx:pt idx="65">5.01-10.0</cx:pt>
          <cx:pt idx="66">5.01-10.0</cx:pt>
          <cx:pt idx="67">5.01-10.0</cx:pt>
          <cx:pt idx="68">5.01-10.0</cx:pt>
          <cx:pt idx="69">5.01-10.0</cx:pt>
          <cx:pt idx="70">5.01-10.0</cx:pt>
          <cx:pt idx="71">5.01-10.0</cx:pt>
          <cx:pt idx="72">5.01-10.0</cx:pt>
          <cx:pt idx="73">5.01-10.0</cx:pt>
          <cx:pt idx="74">5.01-10.0</cx:pt>
          <cx:pt idx="75">5.01-10.0</cx:pt>
          <cx:pt idx="76">5.01-10.0</cx:pt>
          <cx:pt idx="77">5.01-10.0</cx:pt>
          <cx:pt idx="78">5.01-10.0</cx:pt>
          <cx:pt idx="79">5.01-10.0</cx:pt>
          <cx:pt idx="80">5.01-10.0</cx:pt>
          <cx:pt idx="81">5.01-10.0</cx:pt>
          <cx:pt idx="82">10.01-15.0</cx:pt>
          <cx:pt idx="83">10.01-15.0</cx:pt>
          <cx:pt idx="84">10.01-15.0</cx:pt>
          <cx:pt idx="85">10.01-15.0</cx:pt>
          <cx:pt idx="86">10.01-15.0</cx:pt>
          <cx:pt idx="87">10.01-15.0</cx:pt>
          <cx:pt idx="88">10.01-15.0</cx:pt>
          <cx:pt idx="89">10.01-15.0</cx:pt>
          <cx:pt idx="90">10.01-15.0</cx:pt>
          <cx:pt idx="91">10.01-15.0</cx:pt>
          <cx:pt idx="92">10.01-15.0</cx:pt>
          <cx:pt idx="93">10.01-15.0</cx:pt>
          <cx:pt idx="94">10.01-15.0</cx:pt>
          <cx:pt idx="95">10.01-15.0</cx:pt>
          <cx:pt idx="96">10.01-15.0</cx:pt>
          <cx:pt idx="97">10.01-15.0</cx:pt>
          <cx:pt idx="98">10.01-15.0</cx:pt>
          <cx:pt idx="99">10.01-15.0</cx:pt>
          <cx:pt idx="100">10.01-15.0</cx:pt>
          <cx:pt idx="101">10.01-15.0</cx:pt>
          <cx:pt idx="102">&gt; 15.0</cx:pt>
          <cx:pt idx="103">&gt; 15.0</cx:pt>
          <cx:pt idx="104">&gt; 15.0</cx:pt>
          <cx:pt idx="105">&gt; 15.0</cx:pt>
          <cx:pt idx="106">&gt; 15.0</cx:pt>
          <cx:pt idx="107">&gt; 15.0</cx:pt>
          <cx:pt idx="108">&gt; 15.0</cx:pt>
          <cx:pt idx="109">&gt; 15.0</cx:pt>
          <cx:pt idx="110">&gt; 15.0</cx:pt>
          <cx:pt idx="111">&gt; 15.0</cx:pt>
          <cx:pt idx="112">&gt; 15.0</cx:pt>
          <cx:pt idx="113">&gt; 15.0</cx:pt>
          <cx:pt idx="114">&gt; 15.0</cx:pt>
        </cx:lvl>
      </cx:strDim>
      <cx:numDim type="val">
        <cx:f>'data1 (2)'!$T$2:$T$116</cx:f>
        <cx:lvl ptCount="115" formatCode="#,##0.00">
          <cx:pt idx="0">0.090909090909090912</cx:pt>
          <cx:pt idx="1">0.011673151750972763</cx:pt>
          <cx:pt idx="2">0.063218390804597707</cx:pt>
          <cx:pt idx="3">0.11481481481481481</cx:pt>
          <cx:pt idx="4">0.084795321637426896</cx:pt>
          <cx:pt idx="5">0.031690140845070422</cx:pt>
          <cx:pt idx="6">0.0625</cx:pt>
          <cx:pt idx="7">0.068702290076335881</cx:pt>
          <cx:pt idx="8">0.089928057553956831</cx:pt>
          <cx:pt idx="9">0.059288537549407112</cx:pt>
          <cx:pt idx="10">0.066666666666666666</cx:pt>
          <cx:pt idx="11">0.088328075709779186</cx:pt>
          <cx:pt idx="12">0.13953488372093023</cx:pt>
          <cx:pt idx="13">0.125</cx:pt>
          <cx:pt idx="14">0.070175438596491224</cx:pt>
          <cx:pt idx="15">0.072164948453608241</cx:pt>
          <cx:pt idx="16">0.056224899598393573</cx:pt>
          <cx:pt idx="17">0.13492063492063491</cx:pt>
          <cx:pt idx="18">0.093862815884476536</cx:pt>
          <cx:pt idx="19">0.064638783269961975</cx:pt>
          <cx:pt idx="20">0.017006802721088437</cx:pt>
          <cx:pt idx="21">0.013513513513513514</cx:pt>
          <cx:pt idx="22">0.039735099337748346</cx:pt>
          <cx:pt idx="23">0.11409395973154363</cx:pt>
          <cx:pt idx="24">0.10900473933649289</cx:pt>
          <cx:pt idx="25">0.13385826771653545</cx:pt>
          <cx:pt idx="26">0.12204724409448819</cx:pt>
          <cx:pt idx="27">0.098814229249011856</cx:pt>
          <cx:pt idx="28">0.086614173228346455</cx:pt>
          <cx:pt idx="29">0.17171717171717171</cx:pt>
          <cx:pt idx="30">0.12918660287081341</cx:pt>
          <cx:pt idx="31">0.04878048780487805</cx:pt>
          <cx:pt idx="32">0.11194029850746269</cx:pt>
          <cx:pt idx="33">0.090196078431372548</cx:pt>
          <cx:pt idx="34">0.094117647058823528</cx:pt>
          <cx:pt idx="35">0.047058823529411764</cx:pt>
          <cx:pt idx="36">0.10756972111553785</cx:pt>
          <cx:pt idx="37">0.082733812949640287</cx:pt>
          <cx:pt idx="38">0.071942446043165464</cx:pt>
          <cx:pt idx="39">0.16996047430830039</cx:pt>
          <cx:pt idx="40">0.10276679841897234</cx:pt>
          <cx:pt idx="41">0.045901639344262293</cx:pt>
          <cx:pt idx="42">0.026315789473684209</cx:pt>
          <cx:pt idx="43">0.048442906574394463</cx:pt>
          <cx:pt idx="44">0.025423728813559324</cx:pt>
          <cx:pt idx="45">0.14893617021276595</cx:pt>
          <cx:pt idx="46">0.16602316602316602</cx:pt>
          <cx:pt idx="47">0.14644351464435146</cx:pt>
          <cx:pt idx="48">0.11811023622047244</cx:pt>
          <cx:pt idx="49">0.1111111111111111</cx:pt>
          <cx:pt idx="50">0.171875</cx:pt>
          <cx:pt idx="51">0.11552346570397112</cx:pt>
          <cx:pt idx="52">0.16538461538461538</cx:pt>
          <cx:pt idx="53">0.12686567164179105</cx:pt>
          <cx:pt idx="54">0.13596491228070176</cx:pt>
          <cx:pt idx="55">0.052459016393442623</cx:pt>
          <cx:pt idx="56">0.078231292517006806</cx:pt>
          <cx:pt idx="57">0.098290598290598288</cx:pt>
          <cx:pt idx="58">0.13461538461538461</cx:pt>
          <cx:pt idx="59">0.089219330855018583</cx:pt>
          <cx:pt idx="60">0.10266159695817491</cx:pt>
          <cx:pt idx="61">0.08171206225680934</cx:pt>
          <cx:pt idx="62">0.033816425120772944</cx:pt>
          <cx:pt idx="63">0.09765625</cx:pt>
          <cx:pt idx="64">0.058139534883720929</cx:pt>
          <cx:pt idx="65">0.067924528301886791</cx:pt>
          <cx:pt idx="66">0.082437275985663083</cx:pt>
          <cx:pt idx="67">0.075812274368231042</cx:pt>
          <cx:pt idx="68">0.046822742474916385</cx:pt>
          <cx:pt idx="69">0.034482758620689655</cx:pt>
          <cx:pt idx="70">0.067924528301886791</cx:pt>
          <cx:pt idx="71">0.057692307692307696</cx:pt>
          <cx:pt idx="72">0.06741573033707865</cx:pt>
          <cx:pt idx="73">0.03787878787878788</cx:pt>
          <cx:pt idx="74">0.053124999999999999</cx:pt>
          <cx:pt idx="75">0.066666666666666666</cx:pt>
          <cx:pt idx="76">0.11363636363636363</cx:pt>
          <cx:pt idx="77">0.015384615384615385</cx:pt>
          <cx:pt idx="78">0.058219178082191778</cx:pt>
          <cx:pt idx="79">0.1388888888888889</cx:pt>
          <cx:pt idx="80">0.060483870967741937</cx:pt>
          <cx:pt idx="81">0.14682539682539683</cx:pt>
          <cx:pt idx="82">0.096000000000000002</cx:pt>
          <cx:pt idx="83">0.15873015873015872</cx:pt>
          <cx:pt idx="84">0.0106951871657754</cx:pt>
          <cx:pt idx="85">0.14077669902912621</cx:pt>
          <cx:pt idx="86">0.14336917562724014</cx:pt>
          <cx:pt idx="87">0.082352941176470587</cx:pt>
          <cx:pt idx="88">0.092664092664092659</cx:pt>
          <cx:pt idx="89">0.057034220532319393</cx:pt>
          <cx:pt idx="90">0.065637065637065631</cx:pt>
          <cx:pt idx="91">0.080000000000000002</cx:pt>
          <cx:pt idx="92">0.041984732824427481</cx:pt>
          <cx:pt idx="93">0.023076923076923078</cx:pt>
          <cx:pt idx="94">0.053571428571428568</cx:pt>
          <cx:pt idx="95">0.016611295681063124</cx:pt>
          <cx:pt idx="96">0.016233766233766232</cx:pt>
          <cx:pt idx="97">0.11872146118721461</cx:pt>
          <cx:pt idx="98">0.0063091482649842269</cx:pt>
          <cx:pt idx="99">0.064393939393939392</cx:pt>
          <cx:pt idx="100">0.096153846153846159</cx:pt>
          <cx:pt idx="101">0.11038961038961038</cx:pt>
          <cx:pt idx="102">0.077192982456140355</cx:pt>
          <cx:pt idx="103">0.058139534883720929</cx:pt>
          <cx:pt idx="104">0.11458333333333333</cx:pt>
          <cx:pt idx="105">0.06640625</cx:pt>
          <cx:pt idx="106">0.082901554404145081</cx:pt>
          <cx:pt idx="107">0.13636363636363635</cx:pt>
          <cx:pt idx="108">0.11811023622047244</cx:pt>
          <cx:pt idx="109">0.11827956989247312</cx:pt>
          <cx:pt idx="110">0.087121212121212127</cx:pt>
          <cx:pt idx="111">0.05701754385964912</cx:pt>
          <cx:pt idx="112">0.097643097643097643</cx:pt>
          <cx:pt idx="113">0.11524163568773234</cx:pt>
          <cx:pt idx="114">0.11811023622047244</cx:pt>
        </cx:lvl>
      </cx:numDim>
    </cx:data>
    <cx:data id="1">
      <cx:strDim type="cat">
        <cx:f>'data1 (2)'!$Y$117:$Y$201</cx:f>
        <cx:lvl ptCount="85">
          <cx:pt idx="0">≤ 1.50</cx:pt>
          <cx:pt idx="1">≤ 1.50</cx:pt>
          <cx:pt idx="2">≤ 1.50</cx:pt>
          <cx:pt idx="3">≤ 1.50</cx:pt>
          <cx:pt idx="4">≤ 1.50</cx:pt>
          <cx:pt idx="5">≤ 1.50</cx:pt>
          <cx:pt idx="6">≤ 1.50</cx:pt>
          <cx:pt idx="7">≤ 1.50</cx:pt>
          <cx:pt idx="8">≤ 1.50</cx:pt>
          <cx:pt idx="9">≤ 1.50</cx:pt>
          <cx:pt idx="10">≤ 1.50</cx:pt>
          <cx:pt idx="11">≤ 1.50</cx:pt>
          <cx:pt idx="12">≤ 1.50</cx:pt>
          <cx:pt idx="13">≤ 1.50</cx:pt>
          <cx:pt idx="14">≤ 1.50</cx:pt>
          <cx:pt idx="15">≤ 1.50</cx:pt>
          <cx:pt idx="16">≤ 1.50</cx:pt>
          <cx:pt idx="17">≤ 1.50</cx:pt>
          <cx:pt idx="18">≤ 1.50</cx:pt>
          <cx:pt idx="19">≤ 1.50</cx:pt>
          <cx:pt idx="20">≤ 1.50</cx:pt>
          <cx:pt idx="21">≤ 1.50</cx:pt>
          <cx:pt idx="22">≤ 1.50</cx:pt>
          <cx:pt idx="23">1.51-5.0</cx:pt>
          <cx:pt idx="24">1.51-5.0</cx:pt>
          <cx:pt idx="25">1.51-5.0</cx:pt>
          <cx:pt idx="26">1.51-5.0</cx:pt>
          <cx:pt idx="27">1.51-5.0</cx:pt>
          <cx:pt idx="28">1.51-5.0</cx:pt>
          <cx:pt idx="29">1.51-5.0</cx:pt>
          <cx:pt idx="30">1.51-5.0</cx:pt>
          <cx:pt idx="31">1.51-5.0</cx:pt>
          <cx:pt idx="32">1.51-5.0</cx:pt>
          <cx:pt idx="33">1.51-5.0</cx:pt>
          <cx:pt idx="34">1.51-5.0</cx:pt>
          <cx:pt idx="35">1.51-5.0</cx:pt>
          <cx:pt idx="36">1.51-5.0</cx:pt>
          <cx:pt idx="37">1.51-5.0</cx:pt>
          <cx:pt idx="38">1.51-5.0</cx:pt>
          <cx:pt idx="39">1.51-5.0</cx:pt>
          <cx:pt idx="40">5.01-10.0</cx:pt>
          <cx:pt idx="41">5.01-10.0</cx:pt>
          <cx:pt idx="42">5.01-10.0</cx:pt>
          <cx:pt idx="43">5.01-10.0</cx:pt>
          <cx:pt idx="44">5.01-10.0</cx:pt>
          <cx:pt idx="45">5.01-10.0</cx:pt>
          <cx:pt idx="46">5.01-10.0</cx:pt>
          <cx:pt idx="47">5.01-10.0</cx:pt>
          <cx:pt idx="48">10.01-15.0</cx:pt>
          <cx:pt idx="49">10.01-15.0</cx:pt>
          <cx:pt idx="50">10.01-15.0</cx:pt>
          <cx:pt idx="51">10.01-15.0</cx:pt>
          <cx:pt idx="52">10.01-15.0</cx:pt>
          <cx:pt idx="53">10.01-15.0</cx:pt>
          <cx:pt idx="54">10.01-15.0</cx:pt>
          <cx:pt idx="55">10.01-15.0</cx:pt>
          <cx:pt idx="56">10.01-15.0</cx:pt>
          <cx:pt idx="57">10.01-15.0</cx:pt>
          <cx:pt idx="58">10.01-15.0</cx:pt>
          <cx:pt idx="59">10.01-15.0</cx:pt>
          <cx:pt idx="60">10.01-15.0</cx:pt>
          <cx:pt idx="61">&gt; 15.0</cx:pt>
          <cx:pt idx="62">&gt; 15.0</cx:pt>
          <cx:pt idx="63">&gt; 15.0</cx:pt>
          <cx:pt idx="64">&gt; 15.0</cx:pt>
          <cx:pt idx="65">&gt; 15.0</cx:pt>
          <cx:pt idx="66">&gt; 15.0</cx:pt>
          <cx:pt idx="67">&gt; 15.0</cx:pt>
          <cx:pt idx="68">&gt; 15.0</cx:pt>
          <cx:pt idx="69">&gt; 15.0</cx:pt>
          <cx:pt idx="70">&gt; 15.0</cx:pt>
          <cx:pt idx="71">&gt; 15.0</cx:pt>
          <cx:pt idx="72">&gt; 15.0</cx:pt>
          <cx:pt idx="73">&gt; 15.0</cx:pt>
          <cx:pt idx="74">&gt; 15.0</cx:pt>
          <cx:pt idx="75">&gt; 15.0</cx:pt>
          <cx:pt idx="76">&gt; 15.0</cx:pt>
          <cx:pt idx="77">&gt; 15.0</cx:pt>
          <cx:pt idx="78">&gt; 15.0</cx:pt>
          <cx:pt idx="79">&gt; 15.0</cx:pt>
          <cx:pt idx="80">&gt; 15.0</cx:pt>
          <cx:pt idx="81">&gt; 15.0</cx:pt>
          <cx:pt idx="82">&gt; 15.0</cx:pt>
          <cx:pt idx="83">&gt; 15.0</cx:pt>
          <cx:pt idx="84">&gt; 15.0</cx:pt>
        </cx:lvl>
      </cx:strDim>
      <cx:numDim type="val">
        <cx:f>'data1 (2)'!$T$117:$T$201</cx:f>
        <cx:lvl ptCount="85" formatCode="#,##0.00">
          <cx:pt idx="0">0.088757396449704137</cx:pt>
          <cx:pt idx="1">0.13407821229050279</cx:pt>
          <cx:pt idx="2">0.073076923076923081</cx:pt>
          <cx:pt idx="3">0.077253218884120178</cx:pt>
          <cx:pt idx="4">0.055555555555555552</cx:pt>
          <cx:pt idx="5">0.2151394422310757</cx:pt>
          <cx:pt idx="6">0.27734375</cx:pt>
          <cx:pt idx="7">0.078651685393258425</cx:pt>
          <cx:pt idx="8">0.12734082397003746</cx:pt>
          <cx:pt idx="9">0.11678832116788321</cx:pt>
          <cx:pt idx="10">0.024137931034482758</cx:pt>
          <cx:pt idx="11">0.090604026845637578</cx:pt>
          <cx:pt idx="12">0.064406779661016947</cx:pt>
          <cx:pt idx="13">0.026229508196721311</cx:pt>
          <cx:pt idx="14">0.019704433497536946</cx:pt>
          <cx:pt idx="15">0.096385542168674704</cx:pt>
          <cx:pt idx="16">0.072649572649572655</cx:pt>
          <cx:pt idx="17">0.14979757085020243</cx:pt>
          <cx:pt idx="18">0.15662650602409639</cx:pt>
          <cx:pt idx="19">0.093385214007782102</cx:pt>
          <cx:pt idx="20">0.10130718954248366</cx:pt>
          <cx:pt idx="21">0.17669172932330826</cx:pt>
          <cx:pt idx="22">0.06741573033707865</cx:pt>
          <cx:pt idx="23">0.067729083665338641</cx:pt>
          <cx:pt idx="24">0.094339622641509441</cx:pt>
          <cx:pt idx="25">0.077821011673151752</cx:pt>
          <cx:pt idx="26">0.034700315457413249</cx:pt>
          <cx:pt idx="27">0.11969111969111969</cx:pt>
          <cx:pt idx="28">0.14741035856573706</cx:pt>
          <cx:pt idx="29">0.058365758754863814</cx:pt>
          <cx:pt idx="30">0.066914498141263934</cx:pt>
          <cx:pt idx="31">0.031347962382445138</cx:pt>
          <cx:pt idx="32">0.039867109634551492</cx:pt>
          <cx:pt idx="33">0.021201413427561839</cx:pt>
          <cx:pt idx="34">0.019736842105263157</cx:pt>
          <cx:pt idx="35">0.030508474576271188</cx:pt>
          <cx:pt idx="36">0.015936254980079681</cx:pt>
          <cx:pt idx="37">0.2140077821011673</cx:pt>
          <cx:pt idx="38">0.1857707509881423</cx:pt>
          <cx:pt idx="39">0.16923076923076924</cx:pt>
          <cx:pt idx="40">0.034313725490196081</cx:pt>
          <cx:pt idx="41">0.071969696969696975</cx:pt>
          <cx:pt idx="42">0.082706766917293228</cx:pt>
          <cx:pt idx="43">0.069767441860465115</cx:pt>
          <cx:pt idx="44">0.13074204946996468</cx:pt>
          <cx:pt idx="45">0.13857677902621723</cx:pt>
          <cx:pt idx="46">0.046357615894039736</cx:pt>
          <cx:pt idx="47">0.14056224899598393</cx:pt>
          <cx:pt idx="48">0.085603112840466927</cx:pt>
          <cx:pt idx="49">0.10727969348659004</cx:pt>
          <cx:pt idx="50">0.11475409836065574</cx:pt>
          <cx:pt idx="51">0.10801393728222997</cx:pt>
          <cx:pt idx="52">0.13043478260869565</cx:pt>
          <cx:pt idx="53">0.11406844106463879</cx:pt>
          <cx:pt idx="54">0.078431372549019607</cx:pt>
          <cx:pt idx="55">0.064150943396226415</cx:pt>
          <cx:pt idx="56">0.109375</cx:pt>
          <cx:pt idx="57">0.082352941176470587</cx:pt>
          <cx:pt idx="58">0.1277258566978193</cx:pt>
          <cx:pt idx="59">0.12037037037037036</cx:pt>
          <cx:pt idx="60">0.14563106796116504</cx:pt>
          <cx:pt idx="61">0.14393939393939395</cx:pt>
          <cx:pt idx="62">0.098859315589353611</cx:pt>
          <cx:pt idx="63">0.012605042016806723</cx:pt>
          <cx:pt idx="64">0.09696969696969697</cx:pt>
          <cx:pt idx="65">0.0033333333333333335</cx:pt>
          <cx:pt idx="66">0.14545454545454545</cx:pt>
          <cx:pt idx="67">0.14646464646464646</cx:pt>
          <cx:pt idx="68">0.11055276381909548</cx:pt>
          <cx:pt idx="69">0.099667774086378738</cx:pt>
          <cx:pt idx="70">0.12844036697247707</cx:pt>
          <cx:pt idx="71">0.15662650602409639</cx:pt>
          <cx:pt idx="72">0.013953488372093023</cx:pt>
          <cx:pt idx="73">0.091911764705882359</cx:pt>
          <cx:pt idx="74">0.089005235602094238</cx:pt>
          <cx:pt idx="75">0.128</cx:pt>
          <cx:pt idx="76">0.11917098445595854</cx:pt>
          <cx:pt idx="77">0.15929203539823009</cx:pt>
          <cx:pt idx="78">0.12446351931330472</cx:pt>
          <cx:pt idx="79">0.1111111111111111</cx:pt>
          <cx:pt idx="80">0.097435897435897437</cx:pt>
          <cx:pt idx="81">0.082018927444794956</cx:pt>
          <cx:pt idx="82">0.22815533980582525</cx:pt>
          <cx:pt idx="83">0.19642857142857142</cx:pt>
          <cx:pt idx="84">0.16315789473684211</cx:pt>
        </cx:lvl>
      </cx:numDim>
    </cx:data>
  </cx:chartData>
  <cx:chart>
    <cx:plotArea>
      <cx:plotAreaRegion>
        <cx:series layoutId="boxWhisker" uniqueId="{D86D1FC5-F0F6-4BC1-A412-079453811827}">
          <cx:tx>
            <cx:txData>
              <cx:v>Age less than 40 years</cx:v>
            </cx:txData>
          </cx:tx>
          <cx:spPr>
            <a:solidFill>
              <a:schemeClr val="bg1">
                <a:lumMod val="75000"/>
              </a:schemeClr>
            </a:solidFill>
            <a:ln w="25400">
              <a:solidFill>
                <a:schemeClr val="tx1"/>
              </a:solidFill>
            </a:ln>
          </cx:spPr>
          <cx:dataId val="0"/>
          <cx:layoutPr>
            <cx:visibility meanLine="0" meanMarker="1" nonoutliers="0" outliers="1"/>
            <cx:statistics quartileMethod="exclusive"/>
          </cx:layoutPr>
        </cx:series>
        <cx:series layoutId="boxWhisker" uniqueId="{00000000-A27A-47E1-AD39-640B78399F20}">
          <cx:tx>
            <cx:txData>
              <cx:v>Age 40 years or more</cx:v>
            </cx:txData>
          </cx:tx>
          <cx:spPr>
            <a:solidFill>
              <a:schemeClr val="bg1"/>
            </a:solidFill>
            <a:ln w="25400">
              <a:solidFill>
                <a:schemeClr val="tx1"/>
              </a:solidFill>
            </a:ln>
          </cx:spPr>
          <cx:dataId val="1"/>
          <cx:layoutPr>
            <cx:visibility nonoutliers="0"/>
            <cx:statistics quartileMethod="exclusive"/>
          </cx:layoutPr>
        </cx:series>
      </cx:plotAreaRegion>
      <cx:axis id="0">
        <cx:catScaling gapWidth="1"/>
        <cx:title>
          <cx:tx>
            <cx:txData>
              <cx:v>Radiation dose (mGy/year)</cx:v>
            </cx:txData>
          </cx:tx>
          <cx:txPr>
            <a:bodyPr spcFirstLastPara="1" vertOverflow="ellipsis" horzOverflow="overflow" wrap="square" lIns="0" tIns="0" rIns="0" bIns="0" anchor="ctr" anchorCtr="1"/>
            <a:lstStyle/>
            <a:p>
              <a:pPr algn="ctr" rtl="0">
                <a:defRPr sz="1400" b="1">
                  <a:solidFill>
                    <a:schemeClr val="tx1"/>
                  </a:solidFill>
                  <a:latin typeface="Times New Roman" panose="02020603050405020304" pitchFamily="18" charset="0"/>
                  <a:ea typeface="Times New Roman" panose="02020603050405020304" pitchFamily="18" charset="0"/>
                  <a:cs typeface="Times New Roman" panose="02020603050405020304" pitchFamily="18" charset="0"/>
                </a:defRPr>
              </a:pPr>
              <a:r>
                <a:rPr lang="en-US" sz="1400" b="1" i="0" u="none" strike="noStrike" baseline="0">
                  <a:solidFill>
                    <a:schemeClr val="tx1"/>
                  </a:solidFill>
                  <a:latin typeface="Times New Roman" panose="02020603050405020304" pitchFamily="18" charset="0"/>
                  <a:cs typeface="Times New Roman" panose="02020603050405020304" pitchFamily="18" charset="0"/>
                </a:rPr>
                <a:t>Radiation dose (mGy/year)</a:t>
              </a:r>
            </a:p>
          </cx:txPr>
        </cx:title>
        <cx:tickLabels/>
        <cx:spPr>
          <a:ln w="12700">
            <a:solidFill>
              <a:schemeClr val="tx1"/>
            </a:solidFill>
          </a:ln>
        </cx:spPr>
        <cx:txPr>
          <a:bodyPr vertOverflow="overflow" horzOverflow="overflow" wrap="square" lIns="0" tIns="0" rIns="0" bIns="0"/>
          <a:lstStyle/>
          <a:p>
            <a:pPr algn="ctr" rtl="0">
              <a:defRPr sz="1400" b="1" i="0">
                <a:ln w="12700">
                  <a:solidFill>
                    <a:schemeClr val="tx1"/>
                  </a:solidFill>
                </a:ln>
                <a:solidFill>
                  <a:schemeClr val="tx1"/>
                </a:solidFill>
                <a:latin typeface="Times New Roman" panose="02020603050405020304" pitchFamily="18" charset="0"/>
                <a:ea typeface="Times New Roman" panose="02020603050405020304" pitchFamily="18" charset="0"/>
                <a:cs typeface="Times New Roman" panose="02020603050405020304" pitchFamily="18" charset="0"/>
              </a:defRPr>
            </a:pPr>
            <a:endParaRPr lang="en-IN" sz="1400" b="1">
              <a:ln w="12700">
                <a:solidFill>
                  <a:schemeClr val="tx1"/>
                </a:solidFill>
              </a:ln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x:txPr>
      </cx:axis>
      <cx:axis id="1">
        <cx:valScaling/>
        <cx:title>
          <cx:tx>
            <cx:rich>
              <a:bodyPr spcFirstLastPara="1" vertOverflow="ellipsis" horzOverflow="overflow" wrap="square" lIns="0" tIns="0" rIns="0" bIns="0" anchor="ctr" anchorCtr="1"/>
              <a:lstStyle/>
              <a:p>
                <a:pPr algn="ctr" rtl="0">
                  <a:defRPr sz="1400" b="1">
                    <a:solidFill>
                      <a:schemeClr val="tx1"/>
                    </a:solidFill>
                    <a:latin typeface="Times New Roman" panose="02020603050405020304" pitchFamily="18" charset="0"/>
                    <a:ea typeface="Times New Roman" panose="02020603050405020304" pitchFamily="18" charset="0"/>
                    <a:cs typeface="Times New Roman" panose="02020603050405020304" pitchFamily="18" charset="0"/>
                  </a:defRPr>
                </a:pPr>
                <a:r>
                  <a:rPr lang="en-US" sz="1400" b="1" i="0" u="none" strike="noStrike" baseline="0">
                    <a:solidFill>
                      <a:schemeClr val="tx1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  <a:sym typeface="Symbol" panose="05050102010706020507" pitchFamily="18" charset="2"/>
                  </a:rPr>
                  <a:t>No. of H2AX foci / cell</a:t>
                </a:r>
                <a:endParaRPr lang="en-US" sz="1400" b="1" i="0" u="none" strike="noStrike" baseline="0">
                  <a:solidFill>
                    <a:schemeClr val="tx1"/>
                  </a:solidFill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x:rich>
          </cx:tx>
        </cx:title>
        <cx:majorGridlines/>
        <cx:tickLabels/>
        <cx:spPr>
          <a:ln w="12700">
            <a:solidFill>
              <a:schemeClr val="tx1"/>
            </a:solidFill>
          </a:ln>
        </cx:spPr>
        <cx:txPr>
          <a:bodyPr vertOverflow="overflow" horzOverflow="overflow" wrap="square" lIns="0" tIns="0" rIns="0" bIns="0"/>
          <a:lstStyle/>
          <a:p>
            <a:pPr algn="ctr" rtl="0">
              <a:defRPr sz="1400" b="1" i="0">
                <a:ln w="12700">
                  <a:solidFill>
                    <a:schemeClr val="tx1"/>
                  </a:solidFill>
                </a:ln>
                <a:solidFill>
                  <a:schemeClr val="tx1"/>
                </a:solidFill>
                <a:latin typeface="Times New Roman" panose="02020603050405020304" pitchFamily="18" charset="0"/>
                <a:ea typeface="Times New Roman" panose="02020603050405020304" pitchFamily="18" charset="0"/>
                <a:cs typeface="Times New Roman" panose="02020603050405020304" pitchFamily="18" charset="0"/>
              </a:defRPr>
            </a:pPr>
            <a:endParaRPr lang="en-IN" sz="1400" b="1">
              <a:ln w="12700">
                <a:solidFill>
                  <a:schemeClr val="tx1"/>
                </a:solidFill>
              </a:ln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x:txPr>
      </cx:axis>
    </cx:plotArea>
    <cx:legend pos="b" align="ctr" overlay="0">
      <cx:txPr>
        <a:bodyPr spcFirstLastPara="1" vertOverflow="ellipsis" horzOverflow="overflow" wrap="square" lIns="0" tIns="0" rIns="0" bIns="0" anchor="ctr" anchorCtr="1"/>
        <a:lstStyle/>
        <a:p>
          <a:pPr algn="ctr" rtl="0">
            <a:defRPr sz="1400" b="1">
              <a:solidFill>
                <a:schemeClr val="tx1"/>
              </a:solidFill>
              <a:latin typeface="Times New Roman" panose="02020603050405020304" pitchFamily="18" charset="0"/>
              <a:ea typeface="Times New Roman" panose="02020603050405020304" pitchFamily="18" charset="0"/>
              <a:cs typeface="Times New Roman" panose="02020603050405020304" pitchFamily="18" charset="0"/>
            </a:defRPr>
          </a:pPr>
          <a:endParaRPr lang="en-US" sz="1400" b="1" i="0" u="none" strike="noStrike" baseline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cx:txPr>
    </cx:legend>
  </cx:chart>
</cx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40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>
        <a:solidFill>
          <a:schemeClr val="phClr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/>
  </cs:valueAxis>
  <cs:wall>
    <cs:lnRef idx="0"/>
    <cs:fillRef idx="0"/>
    <cs:effectRef idx="0"/>
    <cs:fontRef idx="minor">
      <a:schemeClr val="tx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A6A7E-530F-4AC6-AAC3-1CC15DB88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Birajalaxmi</dc:creator>
  <cp:lastModifiedBy>PKM Koya</cp:lastModifiedBy>
  <cp:revision>6</cp:revision>
  <cp:lastPrinted>2022-02-17T12:47:00Z</cp:lastPrinted>
  <dcterms:created xsi:type="dcterms:W3CDTF">2023-01-21T07:56:00Z</dcterms:created>
  <dcterms:modified xsi:type="dcterms:W3CDTF">2023-03-06T07:07:00Z</dcterms:modified>
</cp:coreProperties>
</file>