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D1EFD" w14:textId="03C1A0B0" w:rsidR="00931D00" w:rsidRPr="0072606D" w:rsidRDefault="005578E6">
      <w:pPr>
        <w:rPr>
          <w:rFonts w:cstheme="minorHAnsi"/>
          <w:b/>
          <w:bCs/>
          <w:sz w:val="28"/>
          <w:szCs w:val="28"/>
          <w:lang w:val="nl-NL"/>
        </w:rPr>
      </w:pPr>
      <w:r w:rsidRPr="0072606D">
        <w:rPr>
          <w:rFonts w:cstheme="minorHAnsi"/>
          <w:b/>
          <w:bCs/>
          <w:sz w:val="28"/>
          <w:szCs w:val="28"/>
          <w:lang w:val="nl-NL"/>
        </w:rPr>
        <w:t xml:space="preserve">Supplemental </w:t>
      </w:r>
      <w:proofErr w:type="spellStart"/>
      <w:r w:rsidRPr="0072606D">
        <w:rPr>
          <w:rFonts w:cstheme="minorHAnsi"/>
          <w:b/>
          <w:bCs/>
          <w:sz w:val="28"/>
          <w:szCs w:val="28"/>
          <w:lang w:val="nl-NL"/>
        </w:rPr>
        <w:t>material</w:t>
      </w:r>
      <w:proofErr w:type="spellEnd"/>
      <w:r w:rsidRPr="0072606D">
        <w:rPr>
          <w:rFonts w:cstheme="minorHAnsi"/>
          <w:b/>
          <w:bCs/>
          <w:sz w:val="28"/>
          <w:szCs w:val="28"/>
          <w:lang w:val="nl-NL"/>
        </w:rPr>
        <w:t xml:space="preserve"> </w:t>
      </w:r>
      <w:proofErr w:type="spellStart"/>
      <w:r w:rsidRPr="0072606D">
        <w:rPr>
          <w:rFonts w:cstheme="minorHAnsi"/>
          <w:b/>
          <w:bCs/>
          <w:sz w:val="28"/>
          <w:szCs w:val="28"/>
          <w:lang w:val="nl-NL"/>
        </w:rPr>
        <w:t>and</w:t>
      </w:r>
      <w:proofErr w:type="spellEnd"/>
      <w:r w:rsidRPr="0072606D">
        <w:rPr>
          <w:rFonts w:cstheme="minorHAnsi"/>
          <w:b/>
          <w:bCs/>
          <w:sz w:val="28"/>
          <w:szCs w:val="28"/>
          <w:lang w:val="nl-NL"/>
        </w:rPr>
        <w:t xml:space="preserve"> </w:t>
      </w:r>
      <w:proofErr w:type="spellStart"/>
      <w:r w:rsidRPr="0072606D">
        <w:rPr>
          <w:rFonts w:cstheme="minorHAnsi"/>
          <w:b/>
          <w:bCs/>
          <w:sz w:val="28"/>
          <w:szCs w:val="28"/>
          <w:lang w:val="nl-NL"/>
        </w:rPr>
        <w:t>methods</w:t>
      </w:r>
      <w:proofErr w:type="spellEnd"/>
    </w:p>
    <w:p w14:paraId="363E3909" w14:textId="0C1ED17C" w:rsidR="005578E6" w:rsidRPr="0072606D" w:rsidRDefault="005578E6">
      <w:pPr>
        <w:rPr>
          <w:rFonts w:cstheme="minorHAnsi"/>
          <w:lang w:val="nl-NL"/>
        </w:rPr>
      </w:pPr>
    </w:p>
    <w:p w14:paraId="75F0ADED" w14:textId="77777777" w:rsidR="005578E6" w:rsidRPr="0072606D" w:rsidRDefault="005578E6" w:rsidP="005578E6">
      <w:pPr>
        <w:spacing w:line="480" w:lineRule="auto"/>
        <w:jc w:val="both"/>
        <w:rPr>
          <w:rFonts w:cstheme="minorHAnsi"/>
          <w:b/>
          <w:lang w:val="en-US"/>
        </w:rPr>
      </w:pPr>
      <w:r w:rsidRPr="0072606D">
        <w:rPr>
          <w:rFonts w:cstheme="minorHAnsi"/>
          <w:b/>
          <w:lang w:val="en-US"/>
        </w:rPr>
        <w:t>Definitions</w:t>
      </w:r>
    </w:p>
    <w:p w14:paraId="2D4D6432" w14:textId="6D5F938E" w:rsidR="005578E6" w:rsidRPr="0072606D" w:rsidRDefault="005578E6" w:rsidP="005578E6">
      <w:pPr>
        <w:spacing w:line="480" w:lineRule="auto"/>
        <w:jc w:val="both"/>
        <w:rPr>
          <w:rFonts w:cstheme="minorHAnsi"/>
          <w:lang w:val="en-GB"/>
        </w:rPr>
      </w:pPr>
      <w:r w:rsidRPr="0072606D">
        <w:rPr>
          <w:rFonts w:cstheme="minorHAnsi"/>
          <w:lang w:val="en-GB"/>
        </w:rPr>
        <w:t xml:space="preserve">Reduced intensity conditioning (RIC) was defined as regimens combining fludarabine with either &lt;6 </w:t>
      </w:r>
      <w:proofErr w:type="spellStart"/>
      <w:r w:rsidRPr="0072606D">
        <w:rPr>
          <w:rFonts w:cstheme="minorHAnsi"/>
          <w:lang w:val="en-GB"/>
        </w:rPr>
        <w:t>Gy</w:t>
      </w:r>
      <w:proofErr w:type="spellEnd"/>
      <w:r w:rsidRPr="0072606D">
        <w:rPr>
          <w:rFonts w:cstheme="minorHAnsi"/>
          <w:lang w:val="en-GB"/>
        </w:rPr>
        <w:t xml:space="preserve"> total body irradiation (TBI), ≤8mg/kg busulfan, or ≤140 mg/m</w:t>
      </w:r>
      <w:r w:rsidRPr="0072606D">
        <w:rPr>
          <w:rFonts w:cstheme="minorHAnsi"/>
          <w:vertAlign w:val="superscript"/>
          <w:lang w:val="en-GB"/>
        </w:rPr>
        <w:t xml:space="preserve">2 </w:t>
      </w:r>
      <w:r w:rsidRPr="0072606D">
        <w:rPr>
          <w:rFonts w:cstheme="minorHAnsi"/>
          <w:lang w:val="en-GB"/>
        </w:rPr>
        <w:t>melphalan or with other nonmyeloablative drugs as previously reported</w:t>
      </w:r>
      <w:r w:rsidRPr="0072606D">
        <w:rPr>
          <w:rFonts w:cstheme="minorHAnsi"/>
          <w:lang w:val="en-GB"/>
        </w:rPr>
        <w:fldChar w:fldCharType="begin"/>
      </w:r>
      <w:r w:rsidR="0072606D">
        <w:rPr>
          <w:rFonts w:cstheme="minorHAnsi"/>
          <w:lang w:val="en-GB"/>
        </w:rPr>
        <w:instrText xml:space="preserve"> ADDIN ZOTERO_ITEM CSL_CITATION {"citationID":"m7YZIEed","properties":{"formattedCitation":"\\super 1\\nosupersub{}","plainCitation":"1","noteIndex":0},"citationItems":[{"id":262,"uris":["http://zotero.org/users/6580195/items/59BKUS8J"],"itemData":{"id":262,"type":"article-journal","abstract":"Nonrelapse mortality (NRM) is the first cause of treatment failure after unrelated cord blood transplantation (UCBT) following myeloablative conditioning  (MAC). In the last decade, reduced-intensity conditioning (RIC) regimens have been developed with the aim of reducing NRM and allowing older patients and those with medical comorbidities to benefit from UCBT. The aim of the current retrospective study was to compare transplantation outcomes of acute myeloid leukemia (AML) patients given UCBT after either RIC or MAC. Data from 894 adults  with AML receiving a single or double UCBT as first allograft from 2004 to 2013 at EBMT centers were included in this study. 415 patients were given UCBT after RIC while 479 patients following a MAC. In comparison to MAC recipients, RIC recipients had a similar incidence of neutrophil engraftment and of acute and chronic graft-versus-host disease (GVHD). However, RIC recipients had a higher incidence of disease relapse and a lower NRM, translating to comparable leukemia-free (LFS), GVHD-free, relapse-free survival (GRFS) and overall survival (OS). These observations remained qualitatively similar after adjusting for differences between groups in multivariate analyses. In conclusion, these data suggest that LFS and OS are similar with RIC or with MAC in adults AML patients transplanted with UCBT. These observations could serve as basis for a future prospective randomized study.","container-title":"Oncotarget","DOI":"10.18632/oncotarget.9599","ISSN":"1949-2553 1949-2553","issue":"28","journalAbbreviation":"Oncotarget","language":"eng","note":"publisher-place: United States\nPMID: 27250025 \nPMCID: PMC5190005","page":"43027-43038","title":"RIC versus MAC UCBT in adults with AML: A report from Eurocord, the ALWP and the  CTIWP of the EBMT.","volume":"7","author":[{"family":"Baron","given":"Frederic"},{"family":"Ruggeri","given":"Annalisa"},{"family":"Beohou","given":"Eric"},{"family":"Labopin","given":"Myriam"},{"family":"Sanz","given":"Guillermo"},{"family":"Milpied","given":"Noel"},{"family":"Michallet","given":"Mauricette"},{"family":"Bacigalupo","given":"Andrea"},{"family":"Blaise","given":"Didier"},{"family":"Sierra","given":"Jorge"},{"family":"Socie","given":"Gerard"},{"family":"Cornelissen","given":"Jan J."},{"family":"Schmid","given":"Christoph"},{"family":"Giebel","given":"Sebastian"},{"family":"Gorin","given":"Norbert-Claude"},{"family":"Esteve","given":"Jordi"},{"family":"Ciceri","given":"Fabio"},{"family":"Savani","given":"Bipin N."},{"family":"Mohty","given":"Mohamad"},{"family":"Gluckman","given":"Eliane"},{"family":"Nagler","given":"Arnon"}],"issued":{"date-parts":[["2016",7,12]]}}}],"schema":"https://github.com/citation-style-language/schema/raw/master/csl-citation.json"} </w:instrText>
      </w:r>
      <w:r w:rsidRPr="0072606D">
        <w:rPr>
          <w:rFonts w:cstheme="minorHAnsi"/>
          <w:lang w:val="en-GB"/>
        </w:rPr>
        <w:fldChar w:fldCharType="separate"/>
      </w:r>
      <w:r w:rsidR="0072606D" w:rsidRPr="0072606D">
        <w:rPr>
          <w:rFonts w:ascii="Calibri" w:cs="Calibri"/>
          <w:vertAlign w:val="superscript"/>
          <w:lang w:val="fr-FR"/>
        </w:rPr>
        <w:t>1</w:t>
      </w:r>
      <w:r w:rsidRPr="0072606D">
        <w:rPr>
          <w:rFonts w:cstheme="minorHAnsi"/>
          <w:lang w:val="en-GB"/>
        </w:rPr>
        <w:fldChar w:fldCharType="end"/>
      </w:r>
      <w:r w:rsidRPr="0072606D">
        <w:rPr>
          <w:rFonts w:cstheme="minorHAnsi"/>
          <w:lang w:val="en-GB"/>
        </w:rPr>
        <w:t xml:space="preserve"> </w:t>
      </w:r>
      <w:r w:rsidRPr="0072606D">
        <w:rPr>
          <w:rFonts w:cstheme="minorHAnsi"/>
          <w:lang w:val="en-GB"/>
        </w:rPr>
        <w:fldChar w:fldCharType="begin"/>
      </w:r>
      <w:r w:rsidR="0072606D">
        <w:rPr>
          <w:rFonts w:cstheme="minorHAnsi"/>
          <w:lang w:val="en-GB"/>
        </w:rPr>
        <w:instrText xml:space="preserve"> ADDIN ZOTERO_ITEM CSL_CITATION {"citationID":"AblUUwDJ","properties":{"formattedCitation":"\\super 2\\nosupersub{}","plainCitation":"2","noteIndex":0},"citationItems":[{"id":726,"uris":["http://zotero.org/users/6580195/items/PJINDV2L"],"itemData":{"id":726,"type":"article-journal","abstract":"The best stem cell source for T-cell replete human leukocyte antigen (HLA)-haploidentical transplantation with post-transplant cyclophosphamide (PTCy)  remains to be determined. In this European Society for Blood and Marrow  Transplantation retrospective study, we analyzed the impact of stem cell source  on leukemia-free survival (LFS) in adult patients with primary refractory or  relapsed acute myeloid leukemia (AML) given grafts from HLA-haploidentical donors  with PTCy as graft-versus-host disease (GVHD) prophylaxis. A total of 668  patients (249 bone marrow [BM] and 419 peripheral blood stem cells [PBSC]  recipients) met the inclusion criteria. The use of PBSC was associated with a  higher incidence of grade II-IV (HR = 1.59, p = .029) and grade III-IV  (HR = 2.08, p = .013) acute GVHD. There was a statistical interaction between  patient age and the impact of stem cell source for LFS (p &lt; .01). In multivariate  Cox models, among patients &lt;55 years, the use of PBSC versus BM resulted in  comparable LFS (HR = 0.82, p = .2). In contrast, in patients ≥55 years of age,  the use of PBSC versus BM was associated with higher non-relapse mortality (NRM)  (HR = 1.7, p = .01), lower LFS (HR = 1.37, p = .026) and lower overall survival  (HR = 1.33, p = .044). In conclusions, our data suggest that in patients  ≥55 years of age with active AML at HLA-haploidentical transplantation, the use  of BM instead of PBSC as stem cell source results in lower NRM and better LFS. In  contrast among younger patients, the use of PBSC results in at least a comparable  LFS.","container-title":"American journal of hematology","DOI":"10.1002/ajh.26627","ISSN":"1096-8652 0361-8609","issue":"8","journalAbbreviation":"Am J Hematol","language":"eng","license":"© 2022 Wiley Periodicals LLC.","note":"publisher-place: United States\nPMID: 35696192","page":"1065-1074","title":"Human leukocyte antigen-haploidentical transplantation for relapsed/refractory acute myeloid leukemia: Better leukemia-free survival with bone marrow than with  peripheral blood stem cells in patients ≥55 years of age.","volume":"97","author":[{"family":"Baron","given":"Frédéric"},{"family":"Labopin","given":"Myriam"},{"family":"Tischer","given":"Johanna"},{"family":"Ciceri","given":"Fabio"},{"family":"Raiola","given":"Anna Maria"},{"family":"Blaise","given":"Didier"},{"family":"Sica","given":"Simona"},{"family":"Vydra","given":"Jan"},{"family":"Fanin","given":"Renato"},{"family":"Stölzel","given":"Friedrich"},{"family":"Busca","given":"Alessandro"},{"family":"Diez-Martin","given":"Jose Luis"},{"family":"Koc","given":"Yener"},{"family":"Nagler","given":"Arnon"},{"family":"Mohty","given":"Mohamad"}],"issued":{"date-parts":[["2022",8]]}}}],"schema":"https://github.com/citation-style-language/schema/raw/master/csl-citation.json"} </w:instrText>
      </w:r>
      <w:r w:rsidRPr="0072606D">
        <w:rPr>
          <w:rFonts w:cstheme="minorHAnsi"/>
          <w:lang w:val="en-GB"/>
        </w:rPr>
        <w:fldChar w:fldCharType="separate"/>
      </w:r>
      <w:r w:rsidR="0072606D" w:rsidRPr="00DE0AE9">
        <w:rPr>
          <w:rFonts w:ascii="Calibri" w:cs="Calibri"/>
          <w:vertAlign w:val="superscript"/>
          <w:lang w:val="en-US"/>
        </w:rPr>
        <w:t>2</w:t>
      </w:r>
      <w:r w:rsidRPr="0072606D">
        <w:rPr>
          <w:rFonts w:cstheme="minorHAnsi"/>
          <w:lang w:val="en-GB"/>
        </w:rPr>
        <w:fldChar w:fldCharType="end"/>
      </w:r>
      <w:r w:rsidRPr="0072606D">
        <w:rPr>
          <w:rFonts w:cstheme="minorHAnsi"/>
          <w:lang w:val="en-GB"/>
        </w:rPr>
        <w:t>. Acute and chronic GVHD were graded according to previously reported criteria</w:t>
      </w:r>
      <w:r w:rsidR="00DE0AE9">
        <w:rPr>
          <w:rFonts w:cstheme="minorHAnsi"/>
          <w:lang w:val="en-GB"/>
        </w:rPr>
        <w:fldChar w:fldCharType="begin"/>
      </w:r>
      <w:r w:rsidR="00DE0AE9">
        <w:rPr>
          <w:rFonts w:cstheme="minorHAnsi"/>
          <w:lang w:val="en-GB"/>
        </w:rPr>
        <w:instrText xml:space="preserve"> ADDIN ZOTERO_ITEM CSL_CITATION {"citationID":"w6Qkrhe4","properties":{"formattedCitation":"\\super 3\\nosupersub{}","plainCitation":"3","noteIndex":0},"citationItems":[{"id":797,"uris":["http://zotero.org/users/6580195/items/DGQS9P6V"],"itemData":{"id":797,"type":"article-journal","container-title":"Transplantation","DOI":"10.1097/00007890-197410000-00001","ISSN":"0041-1337","issue":"4","journalAbbreviation":"Transplantation","language":"eng","note":"publisher-place: United States\nPMID: 4153799","page":"295-304","title":"Clinical manifestations of graft-versus-host disease in human recipients of marrow from HL-A-matched sibling donors.","volume":"18","author":[{"family":"Glucksberg","given":"H."},{"family":"Storb","given":"R."},{"family":"Fefer","given":"A."},{"family":"Buckner","given":"C. D."},{"family":"Neiman","given":"P. E."},{"family":"Clift","given":"R. A."},{"family":"Lerner","given":"K. G."},{"family":"Thomas","given":"E. D."}],"issued":{"date-parts":[["1974",10]]}}}],"schema":"https://github.com/citation-style-language/schema/raw/master/csl-citation.json"} </w:instrText>
      </w:r>
      <w:r w:rsidR="00DE0AE9">
        <w:rPr>
          <w:rFonts w:cstheme="minorHAnsi"/>
          <w:lang w:val="en-GB"/>
        </w:rPr>
        <w:fldChar w:fldCharType="separate"/>
      </w:r>
      <w:r w:rsidR="00DE0AE9" w:rsidRPr="00DE0AE9">
        <w:rPr>
          <w:rFonts w:ascii="Calibri" w:cs="Calibri"/>
          <w:vertAlign w:val="superscript"/>
          <w:lang w:val="en-US"/>
        </w:rPr>
        <w:t>3</w:t>
      </w:r>
      <w:r w:rsidR="00DE0AE9">
        <w:rPr>
          <w:rFonts w:cstheme="minorHAnsi"/>
          <w:lang w:val="en-GB"/>
        </w:rPr>
        <w:fldChar w:fldCharType="end"/>
      </w:r>
      <w:r w:rsidRPr="0072606D">
        <w:rPr>
          <w:rFonts w:cstheme="minorHAnsi"/>
          <w:lang w:val="en-GB"/>
        </w:rPr>
        <w:t xml:space="preserve">. Haplo-HCT was defined as </w:t>
      </w:r>
      <w:proofErr w:type="spellStart"/>
      <w:r w:rsidRPr="0072606D">
        <w:rPr>
          <w:rFonts w:cstheme="minorHAnsi"/>
          <w:lang w:val="en-GB"/>
        </w:rPr>
        <w:t>allo</w:t>
      </w:r>
      <w:proofErr w:type="spellEnd"/>
      <w:r w:rsidRPr="0072606D">
        <w:rPr>
          <w:rFonts w:cstheme="minorHAnsi"/>
          <w:lang w:val="en-GB"/>
        </w:rPr>
        <w:t xml:space="preserve">-HCT from </w:t>
      </w:r>
      <w:r w:rsidR="00DE0AE9">
        <w:rPr>
          <w:rFonts w:cstheme="minorHAnsi"/>
          <w:lang w:val="en-GB"/>
        </w:rPr>
        <w:t>two</w:t>
      </w:r>
      <w:r w:rsidRPr="0072606D">
        <w:rPr>
          <w:rFonts w:cstheme="minorHAnsi"/>
          <w:lang w:val="en-GB"/>
        </w:rPr>
        <w:t xml:space="preserve"> or more HLA-mismatched related donors. Comorbidities at transplantation were determined using the hematopoietic cell transplantation-specific comorbidity-index (HCT-CI) score</w:t>
      </w:r>
      <w:r w:rsidRPr="0072606D">
        <w:rPr>
          <w:rFonts w:cstheme="minorHAnsi"/>
          <w:lang w:val="en-GB"/>
        </w:rPr>
        <w:fldChar w:fldCharType="begin"/>
      </w:r>
      <w:r w:rsidR="00DE0AE9">
        <w:rPr>
          <w:rFonts w:cstheme="minorHAnsi"/>
          <w:lang w:val="en-GB"/>
        </w:rPr>
        <w:instrText xml:space="preserve"> ADDIN ZOTERO_ITEM CSL_CITATION {"citationID":"hTXfzjmv","properties":{"formattedCitation":"\\super 4\\nosupersub{}","plainCitation":"4","noteIndex":0},"citationItems":[{"id":215,"uris":["http://zotero.org/users/6580195/items/IKZYMWY2"],"itemData":{"id":215,"type":"article-journal","abstract":"We previously reported that the Charlson Comorbidity Index (CCI) was useful for predicting outcomes in patients undergoing allogeneic hematopoietic cell transplantation (HCT). However, the sample size of patients with scores of 1 or more, captured by the CCI, did not exceed 35%. Further, some comorbidities were rarely found among patients who underwent HCT. Therefore, the current study was designed to (1) better define previously identified comorbidities using pretransplant laboratory data, (2) investigate additional HCT-related comorbidities, and (3) establish comorbidity scores that were suited for HCT. Data were collected from 1055 patients, and then randomly divided into training and validation sets. Weights were assigned to individual comorbidities according  to their prognostic significance in Cox proportional hazard models. The new index was then validated. The new index proved to be more sensitive than the CCI since  it captured 62% of patients with scores more than 0 compared with 12%, respectively. Further, the new index showed better survival prediction than the CCI (likelihood ratio of 23.7 versus 7.1 and c statistics of 0.661 versus 0.561,  respectively, P &lt; .001). In conclusion, the new simple index provided valid and reliable scoring of pretransplant comorbidities that predicted nonrelapse mortality and survival. This index will be useful for clinical trials and patient counseling before HCT.","container-title":"Blood","DOI":"10.1182/blood-2005-05-2004","ISSN":"0006-4971 0006-4971","issue":"8","journalAbbreviation":"Blood","language":"eng","note":"publisher-place: United States\nPMID: 15994282 \nPMCID: PMC1895304","page":"2912-2919","title":"Hematopoietic cell transplantation (HCT)-specific comorbidity index: a new tool for risk assessment before allogeneic HCT.","volume":"106","author":[{"family":"Sorror","given":"Mohamed L."},{"family":"Maris","given":"Michael B."},{"family":"Storb","given":"Rainer"},{"family":"Baron","given":"Frederic"},{"family":"Sandmaier","given":"Brenda M."},{"family":"Maloney","given":"David G."},{"family":"Storer","given":"Barry"}],"issued":{"date-parts":[["2005",10,15]]}}}],"schema":"https://github.com/citation-style-language/schema/raw/master/csl-citation.json"} </w:instrText>
      </w:r>
      <w:r w:rsidRPr="0072606D">
        <w:rPr>
          <w:rFonts w:cstheme="minorHAnsi"/>
          <w:lang w:val="en-GB"/>
        </w:rPr>
        <w:fldChar w:fldCharType="separate"/>
      </w:r>
      <w:r w:rsidR="00DE0AE9" w:rsidRPr="00DE0AE9">
        <w:rPr>
          <w:rFonts w:ascii="Calibri" w:cs="Calibri"/>
          <w:vertAlign w:val="superscript"/>
          <w:lang w:val="en-US"/>
        </w:rPr>
        <w:t>4</w:t>
      </w:r>
      <w:r w:rsidRPr="0072606D">
        <w:rPr>
          <w:rFonts w:cstheme="minorHAnsi"/>
          <w:lang w:val="en-GB"/>
        </w:rPr>
        <w:fldChar w:fldCharType="end"/>
      </w:r>
      <w:r w:rsidRPr="0072606D">
        <w:rPr>
          <w:rFonts w:cstheme="minorHAnsi"/>
          <w:lang w:val="en-GB"/>
        </w:rPr>
        <w:t>. Cytogenetic risk was stratified according to the MRC-UK classification, as previously reported</w:t>
      </w:r>
      <w:r w:rsidRPr="0072606D">
        <w:rPr>
          <w:rFonts w:cstheme="minorHAnsi"/>
          <w:lang w:val="en-GB"/>
        </w:rPr>
        <w:fldChar w:fldCharType="begin"/>
      </w:r>
      <w:r w:rsidR="00DE0AE9">
        <w:rPr>
          <w:rFonts w:cstheme="minorHAnsi"/>
          <w:lang w:val="en-GB"/>
        </w:rPr>
        <w:instrText xml:space="preserve"> ADDIN ZOTERO_ITEM CSL_CITATION {"citationID":"fH2wfU8f","properties":{"formattedCitation":"\\super 5\\nosupersub{}","plainCitation":"5","noteIndex":0},"citationItems":[{"id":200,"uris":["http://zotero.org/users/6580195/items/6HD2KCQJ"],"itemData":{"id":200,"type":"article-journal","abstract":"Karyotypic analysis at time of diagnosis has an important value in determining initial response to treatment, remission duration and overall survival (OS) in acute  myeloid leukemia (AML). Less is known about its value before allogeneic  hematopoietic cell transplantation (allo-HCT) in patients transplanted with active  disease, either relapsed or primary refractory (Rel-Ref) AML. We explored the impact  of cytogenetic risk (stratification according to MRC-UK) in 2089 patients with  either Ref (n = 972) or Rel AML (n = 1117) transplanted during the period 2000-2017.  Overall, 154 patients had a favorable risk, 1283 had an intermediate risk and 652  had an adverse cytogenetic risk. Median follow-up was 49 months. Compared to the  favorable risk group, intermediate and adverse risk patients were associated with  worse leukemia-free survival and OS and also with a higher incidence of relapse. In  a subgroup analysis of patients in the intermediate risk group harboring Fms-like  tyrosine kinase 3-internal tandem duplication (FLT3-ITD), this remained an important  prognostic factor, being associated with worse outcomes. When analyzing patients  according to the intensity of the conditioning regimen, no differences were observed  for the main transplant outcomes. In conclusion, in patients diagnosed with AML and  transplanted with active disease, karyotype remains an important prognostic factor,  allowing splitting patients into different risk groups according to their  cytogenetics. Similarly, FLT3-ITD mutation also remains a negative prognostic factor  in this population.","container-title":"American journal of hematology","DOI":"10.1002/ajh.26000","ISSN":"1096-8652 0361-8609","issue":"1","journalAbbreviation":"Am J Hematol","language":"eng","license":"© 2020 Wiley Periodicals LLC.","note":"publisher-place: United States\nPMID: 32944990","page":"40-50","title":"The impact of cytogenetic risk on the outcomes of allogeneic hematopoietic cell transplantation in patients with relapsed/refractory acute myeloid leukemia: On  behalf of the acute leukemia working party (ALWP) of the European group for blood  and marrow transplantation (EBMT).","volume":"96","author":[{"family":"Poiani","given":"Monica"},{"family":"Labopin","given":"Myriam"},{"family":"Battipaglia","given":"Giorgia"},{"family":"Beelen","given":"Dietrich W."},{"family":"Tischer","given":"Johanna"},{"family":"Finke","given":"Jürgen"},{"family":"Brecht","given":"Arne"},{"family":"Forcade","given":"Edouard"},{"family":"Ganser","given":"Arnold"},{"family":"Passweg","given":"Jakob R."},{"family":"Labussiere-Wallet","given":"Helene"},{"family":"Yakoub-Agha","given":"Ibrahim"},{"family":"Schäfer-Eckart","given":"Kerstin"},{"family":"Kroeger","given":"Nicolaus"},{"family":"Guffroy","given":"Blandine"},{"family":"Ruggeri","given":"Annalisa"},{"family":"Esteve","given":"Jordi"},{"family":"Nagler","given":"Arnon"},{"family":"Mohty","given":"Mohamad"}],"issued":{"date-parts":[["2021",1]]}}}],"schema":"https://github.com/citation-style-language/schema/raw/master/csl-citation.json"} </w:instrText>
      </w:r>
      <w:r w:rsidRPr="0072606D">
        <w:rPr>
          <w:rFonts w:cstheme="minorHAnsi"/>
          <w:lang w:val="en-GB"/>
        </w:rPr>
        <w:fldChar w:fldCharType="separate"/>
      </w:r>
      <w:r w:rsidR="00DE0AE9" w:rsidRPr="00DE0AE9">
        <w:rPr>
          <w:rFonts w:ascii="Calibri" w:cs="Calibri"/>
          <w:vertAlign w:val="superscript"/>
          <w:lang w:val="fr-FR"/>
        </w:rPr>
        <w:t>5</w:t>
      </w:r>
      <w:r w:rsidRPr="0072606D">
        <w:rPr>
          <w:rFonts w:cstheme="minorHAnsi"/>
          <w:lang w:val="en-GB"/>
        </w:rPr>
        <w:fldChar w:fldCharType="end"/>
      </w:r>
      <w:r w:rsidRPr="0072606D">
        <w:rPr>
          <w:rFonts w:cstheme="minorHAnsi"/>
          <w:lang w:val="en-GB"/>
        </w:rPr>
        <w:t xml:space="preserve"> </w:t>
      </w:r>
      <w:r w:rsidRPr="0072606D">
        <w:rPr>
          <w:rFonts w:cstheme="minorHAnsi"/>
          <w:lang w:val="en-GB"/>
        </w:rPr>
        <w:fldChar w:fldCharType="begin"/>
      </w:r>
      <w:r w:rsidR="00DE0AE9">
        <w:rPr>
          <w:rFonts w:cstheme="minorHAnsi"/>
          <w:lang w:val="en-GB"/>
        </w:rPr>
        <w:instrText xml:space="preserve"> ADDIN ZOTERO_ITEM CSL_CITATION {"citationID":"7KSQnvzq","properties":{"formattedCitation":"\\super 6\\nosupersub{}","plainCitation":"6","noteIndex":0},"citationItems":[{"id":197,"uris":["http://zotero.org/users/6580195/items/HWQKMQ7T"],"itemData":{"id":197,"type":"article-journal","abstract":"While evidence for measurable residual disease (MRD) is a harbinger of inferior outcome in acute myeloid leukemia (AML) patients referred for allogeneic stem cell  transplantation (allo-SCT), the exact clinical trajectory of specific patient  subsets in this clinical setting is undefined. Using a recently published prognostic  cytogenetic model (Canaani et al. Leukemia 2019) we evaluated whether this model  applied also to studies of patients with positive MRD. The analysis comprised MRD(+)  patients in first complete remission undergoing allo-SCT from a matched sibling  donor or unrelated donor. Seven hundred and seventy-five patients were evaluated  with a median follow-up duration of 22 months. Cytogenetic risk score was favorable,  intermediate/FLT3(wt) intermediate/FLT3-ITD3, and adverse in 15%, 28.3%, 37% and  19.7% of the patients, respectively. Favorable and intermediate/FLT3(wt) risk  patients had 2-year leukemia-free survival rates of 78% and 61%, respectively,  compared with only 50% and 37% for intermediate/FLT3-ITD3 and adverse risk patients,  respectively (P &lt; .001). In multivariate analysis adverse and intermediate/FLT3-ITD3  risk patients were more likely to experience disease relapse compared with favorable  risk patients [hazard ratio (HR) = 3.9, 95% confidence interval (CI), 2.1-7.3; P  &lt; .001, and HR = 4.4, CI 95%, 2.4-7.8; P &lt; .001, respectively]. The European society  for blood and marrow transplantation cytogenetic risk score is a valuable adjunct  for risk stratification of MRD(+) AML patients.","container-title":"American journal of hematology","DOI":"10.1002/ajh.25905","ISSN":"1096-8652 0361-8609","journalAbbreviation":"Am J Hematol","language":"eng","license":"© 2020 Wiley Periodicals LLC.","note":"publisher-place: United States\nPMID: 32530520","title":"Cytogenetic risk score maintains its prognostic significance in AML patients with detectable measurable residual disease undergoing transplantation in remission: On  behalf of the acute leukemia working party of the European society for blood and  marrow transplantation.","author":[{"family":"Nagler","given":"Arnon"},{"family":"Labopin","given":"Myriam"},{"family":"Canaani","given":"Jonathan"},{"family":"Niittyvuopio","given":"Riitta"},{"family":"Socié","given":"Gerard"},{"family":"Kröger","given":"Nicolaus"},{"family":"Itäla-Remes","given":"Maija"},{"family":"Yakoub-Agha","given":"Ibrahim"},{"family":"Labussière-Wallet","given":"Hélène"},{"family":"Gallego-Hernanz","given":"Maria P."},{"family":"Deconinck","given":"Eric"},{"family":"Chevallier","given":"Patrice"},{"family":"Finke","given":"Jürgen"},{"family":"Esteve","given":"Jordi"},{"family":"Mohty","given":"Mohamad"}],"issued":{"date-parts":[["2020",6,12]]}}}],"schema":"https://github.com/citation-style-language/schema/raw/master/csl-citation.json"} </w:instrText>
      </w:r>
      <w:r w:rsidRPr="0072606D">
        <w:rPr>
          <w:rFonts w:cstheme="minorHAnsi"/>
          <w:lang w:val="en-GB"/>
        </w:rPr>
        <w:fldChar w:fldCharType="separate"/>
      </w:r>
      <w:r w:rsidR="00DE0AE9" w:rsidRPr="00DE0AE9">
        <w:rPr>
          <w:rFonts w:ascii="Calibri" w:cs="Calibri"/>
          <w:vertAlign w:val="superscript"/>
          <w:lang w:val="fr-FR"/>
        </w:rPr>
        <w:t>6</w:t>
      </w:r>
      <w:r w:rsidRPr="0072606D">
        <w:rPr>
          <w:rFonts w:cstheme="minorHAnsi"/>
          <w:lang w:val="en-GB"/>
        </w:rPr>
        <w:fldChar w:fldCharType="end"/>
      </w:r>
      <w:r w:rsidRPr="0072606D">
        <w:rPr>
          <w:rFonts w:cstheme="minorHAnsi"/>
          <w:lang w:val="en-GB"/>
        </w:rPr>
        <w:t xml:space="preserve">. </w:t>
      </w:r>
    </w:p>
    <w:p w14:paraId="44389525" w14:textId="49BE72A6" w:rsidR="005578E6" w:rsidRPr="0072606D" w:rsidRDefault="005578E6" w:rsidP="005578E6">
      <w:pPr>
        <w:spacing w:line="480" w:lineRule="auto"/>
        <w:jc w:val="both"/>
        <w:rPr>
          <w:rFonts w:cstheme="minorHAnsi"/>
          <w:lang w:val="en-GB"/>
        </w:rPr>
      </w:pPr>
    </w:p>
    <w:p w14:paraId="2A412BB7" w14:textId="18580AEC" w:rsidR="005578E6" w:rsidRPr="0072606D" w:rsidRDefault="005578E6" w:rsidP="005578E6">
      <w:pPr>
        <w:spacing w:line="480" w:lineRule="auto"/>
        <w:jc w:val="both"/>
        <w:rPr>
          <w:rFonts w:cstheme="minorHAnsi"/>
          <w:b/>
          <w:bCs/>
          <w:lang w:val="en-GB"/>
        </w:rPr>
      </w:pPr>
      <w:r w:rsidRPr="0072606D">
        <w:rPr>
          <w:rFonts w:cstheme="minorHAnsi"/>
          <w:b/>
          <w:bCs/>
          <w:lang w:val="en-GB"/>
        </w:rPr>
        <w:t>Supplemental statistical analyses</w:t>
      </w:r>
    </w:p>
    <w:p w14:paraId="72F78872" w14:textId="53056993" w:rsidR="005578E6" w:rsidRPr="0072606D" w:rsidRDefault="005578E6" w:rsidP="005578E6">
      <w:pPr>
        <w:autoSpaceDE w:val="0"/>
        <w:autoSpaceDN w:val="0"/>
        <w:adjustRightInd w:val="0"/>
        <w:spacing w:line="480" w:lineRule="auto"/>
        <w:jc w:val="both"/>
        <w:rPr>
          <w:rFonts w:cstheme="minorHAnsi"/>
          <w:bCs/>
          <w:lang w:val="en-US"/>
        </w:rPr>
      </w:pPr>
      <w:r w:rsidRPr="0072606D">
        <w:rPr>
          <w:rFonts w:cstheme="minorHAnsi"/>
          <w:lang w:val="en-US"/>
        </w:rPr>
        <w:t xml:space="preserve">Outcome studied were relapse incidence (defined as the presence of 5% BM blasts and/or reappearance of the underlying disease after transplantation), non-relapse mortality (NRM), leukemia-free survival (LFS), and overall Survival (OS). OS was defined as the time from </w:t>
      </w:r>
      <w:proofErr w:type="spellStart"/>
      <w:r w:rsidRPr="0072606D">
        <w:rPr>
          <w:rFonts w:cstheme="minorHAnsi"/>
          <w:lang w:val="en-US"/>
        </w:rPr>
        <w:t>allo</w:t>
      </w:r>
      <w:proofErr w:type="spellEnd"/>
      <w:r w:rsidRPr="0072606D">
        <w:rPr>
          <w:rFonts w:cstheme="minorHAnsi"/>
          <w:lang w:val="en-US"/>
        </w:rPr>
        <w:t>-HCT to death, regardless of the cause.</w:t>
      </w:r>
      <w:r w:rsidRPr="0072606D">
        <w:rPr>
          <w:rFonts w:cstheme="minorHAnsi"/>
          <w:lang w:val="en-US"/>
        </w:rPr>
        <w:t xml:space="preserve"> </w:t>
      </w:r>
      <w:r w:rsidRPr="0072606D">
        <w:rPr>
          <w:rFonts w:cstheme="minorHAnsi"/>
          <w:lang w:val="en-US"/>
        </w:rPr>
        <w:t xml:space="preserve">LFS was defined as survival with no evidence of relapse or progression. NRM was defined as death without evidence of relapse or progression. Cumulative incidence was used to estimate the endpoints of acute and chronic GVHD, </w:t>
      </w:r>
      <w:r w:rsidRPr="0072606D">
        <w:rPr>
          <w:rFonts w:cstheme="minorHAnsi"/>
          <w:bCs/>
          <w:lang w:val="en"/>
        </w:rPr>
        <w:t xml:space="preserve">NRM and RI to accommodate for competing risks. </w:t>
      </w:r>
      <w:r w:rsidRPr="0072606D">
        <w:rPr>
          <w:rFonts w:cstheme="minorHAnsi"/>
          <w:lang w:val="en-US"/>
        </w:rPr>
        <w:t xml:space="preserve">To study acute and chronic GVHD, we considered relapse and death to be competing events. </w:t>
      </w:r>
      <w:r w:rsidRPr="0072606D">
        <w:rPr>
          <w:rFonts w:cstheme="minorHAnsi"/>
          <w:bCs/>
          <w:lang w:val="en-US"/>
        </w:rPr>
        <w:t xml:space="preserve">Probabilities of OS, LFS and GRFS were calculated using the Kaplan–Meier method. Univariate analyses were done using the </w:t>
      </w:r>
      <w:proofErr w:type="gramStart"/>
      <w:r w:rsidRPr="0072606D">
        <w:rPr>
          <w:rFonts w:cstheme="minorHAnsi"/>
          <w:bCs/>
          <w:lang w:val="en-US"/>
        </w:rPr>
        <w:t>Gray’s</w:t>
      </w:r>
      <w:proofErr w:type="gramEnd"/>
      <w:r w:rsidRPr="0072606D">
        <w:rPr>
          <w:rFonts w:cstheme="minorHAnsi"/>
          <w:bCs/>
          <w:lang w:val="en-US"/>
        </w:rPr>
        <w:t xml:space="preserve"> test for cumulative incidence functions and the log rank test for OS and LFS.  </w:t>
      </w:r>
    </w:p>
    <w:p w14:paraId="11B009C4" w14:textId="6CB1CFFA" w:rsidR="004E69D6" w:rsidRPr="00DE0AE9" w:rsidRDefault="004E69D6" w:rsidP="00DE0AE9">
      <w:pPr>
        <w:autoSpaceDE w:val="0"/>
        <w:autoSpaceDN w:val="0"/>
        <w:adjustRightInd w:val="0"/>
        <w:spacing w:line="480" w:lineRule="auto"/>
        <w:ind w:firstLine="708"/>
        <w:jc w:val="both"/>
        <w:rPr>
          <w:rFonts w:cstheme="minorHAnsi"/>
          <w:bCs/>
          <w:lang w:val="en-US"/>
        </w:rPr>
      </w:pPr>
      <w:r w:rsidRPr="0072606D">
        <w:rPr>
          <w:rFonts w:cstheme="minorHAnsi"/>
          <w:lang w:val="en-US"/>
        </w:rPr>
        <w:t xml:space="preserve">The primary endpoint for assessing the impact </w:t>
      </w:r>
      <w:r w:rsidRPr="0072606D">
        <w:rPr>
          <w:rFonts w:cstheme="minorHAnsi"/>
          <w:color w:val="333333"/>
          <w:lang w:val="en-US"/>
        </w:rPr>
        <w:t xml:space="preserve">of acute and chronic GVHD on the outcome </w:t>
      </w:r>
      <w:r w:rsidRPr="0072606D">
        <w:rPr>
          <w:rFonts w:cstheme="minorHAnsi"/>
          <w:lang w:val="en-US"/>
        </w:rPr>
        <w:t>was RI. Secondary endpoints were NRM, LFS and OS. For this purpose, we</w:t>
      </w:r>
      <w:r w:rsidRPr="0072606D">
        <w:rPr>
          <w:rFonts w:cstheme="minorHAnsi"/>
          <w:color w:val="333333"/>
          <w:lang w:val="en-US"/>
        </w:rPr>
        <w:t xml:space="preserve"> used a </w:t>
      </w:r>
      <w:bookmarkStart w:id="0" w:name="_Hlk17725433"/>
      <w:r w:rsidRPr="0072606D">
        <w:rPr>
          <w:rFonts w:cstheme="minorHAnsi"/>
          <w:color w:val="333333"/>
          <w:lang w:val="en-US"/>
        </w:rPr>
        <w:lastRenderedPageBreak/>
        <w:t xml:space="preserve">series of landmark analyses </w:t>
      </w:r>
      <w:bookmarkEnd w:id="0"/>
      <w:r w:rsidRPr="0072606D">
        <w:rPr>
          <w:rFonts w:cstheme="minorHAnsi"/>
          <w:color w:val="333333"/>
          <w:lang w:val="en-US"/>
        </w:rPr>
        <w:fldChar w:fldCharType="begin"/>
      </w:r>
      <w:r w:rsidR="00DE0AE9">
        <w:rPr>
          <w:rFonts w:cstheme="minorHAnsi"/>
          <w:color w:val="333333"/>
          <w:lang w:val="en-US"/>
        </w:rPr>
        <w:instrText xml:space="preserve"> ADDIN ZOTERO_ITEM CSL_CITATION {"citationID":"WwmSma16","properties":{"formattedCitation":"\\super 7\\nosupersub{}","plainCitation":"7","noteIndex":0},"citationItems":[{"id":713,"uris":["http://zotero.org/users/6580195/items/BG9YGAW2"],"itemData":{"id":713,"type":"article-journal","container-title":"Scand J Stat","page":"70-85","title":"Dynamic prediction by landmarking in event history analysis","volume":"34","author":[{"family":"Houwelingen","given":"Hans C.","non-dropping-particle":"van"}],"issued":{"date-parts":[["2007"]]}}}],"schema":"https://github.com/citation-style-language/schema/raw/master/csl-citation.json"} </w:instrText>
      </w:r>
      <w:r w:rsidRPr="0072606D">
        <w:rPr>
          <w:rFonts w:cstheme="minorHAnsi"/>
          <w:color w:val="333333"/>
          <w:lang w:val="en-US"/>
        </w:rPr>
        <w:fldChar w:fldCharType="separate"/>
      </w:r>
      <w:r w:rsidR="00DE0AE9" w:rsidRPr="00DE0AE9">
        <w:rPr>
          <w:rFonts w:ascii="Calibri" w:cs="Calibri"/>
          <w:color w:val="000000"/>
          <w:vertAlign w:val="superscript"/>
          <w:lang w:val="en-US"/>
        </w:rPr>
        <w:t>7</w:t>
      </w:r>
      <w:r w:rsidRPr="0072606D">
        <w:rPr>
          <w:rFonts w:cstheme="minorHAnsi"/>
          <w:color w:val="333333"/>
          <w:lang w:val="en-US"/>
        </w:rPr>
        <w:fldChar w:fldCharType="end"/>
      </w:r>
      <w:r w:rsidRPr="0072606D">
        <w:rPr>
          <w:rFonts w:cstheme="minorHAnsi"/>
          <w:color w:val="333333"/>
          <w:lang w:val="en-US"/>
        </w:rPr>
        <w:t xml:space="preserve"> </w:t>
      </w:r>
      <w:r w:rsidRPr="0072606D">
        <w:rPr>
          <w:rFonts w:cstheme="minorHAnsi"/>
          <w:color w:val="333333"/>
          <w:lang w:val="en-US"/>
        </w:rPr>
        <w:fldChar w:fldCharType="begin"/>
      </w:r>
      <w:r w:rsidR="00DE0AE9">
        <w:rPr>
          <w:rFonts w:cstheme="minorHAnsi"/>
          <w:color w:val="333333"/>
          <w:lang w:val="en-US"/>
        </w:rPr>
        <w:instrText xml:space="preserve"> ADDIN ZOTERO_ITEM CSL_CITATION {"citationID":"QuD5aUbc","properties":{"formattedCitation":"\\super 8\\nosupersub{}","plainCitation":"8","noteIndex":0},"citationItems":[{"id":714,"uris":["http://zotero.org/users/6580195/items/ZI2H7SH9"],"itemData":{"id":714,"type":"article-journal","abstract":"This paper considers the problem of obtaining a dynamic prediction for 5-year failure free survival after bone marrow transplantation in ALL patients using  data from the EBMT, the European Group for Blood and Marrow Transplantation. The  paper compares the new landmark methodology as developed by the first author and  the established multi-state modeling as described in a recent Tutorial in  Biostatistics in Statistics in Medicine by the second author and colleagues. As  expected the two approaches give similar results. The landmark methodology does  not need complex modeling and leads to easy prediction rules. On the other hand,  it does not give the insight in the biological processes as obtained for the  multi-state model.","container-title":"Lifetime data analysis","DOI":"10.1007/s10985-008-9099-8","ISSN":"1380-7870 1572-9249","issue":"4","journalAbbreviation":"Lifetime Data Anal","language":"eng","note":"PMID: 18836831 \nPMCID: PMC2798037","page":"447-463","title":"Dynamic predicting by landmarking as an alternative for multi-state modeling: an application to acute lymphoid leukemia data.","volume":"14","author":[{"family":"Houwelingen","given":"Hans C.","non-dropping-particle":"van"},{"family":"Putter","given":"Hein"}],"issued":{"date-parts":[["2008",12]]}}}],"schema":"https://github.com/citation-style-language/schema/raw/master/csl-citation.json"} </w:instrText>
      </w:r>
      <w:r w:rsidRPr="0072606D">
        <w:rPr>
          <w:rFonts w:cstheme="minorHAnsi"/>
          <w:color w:val="333333"/>
          <w:lang w:val="en-US"/>
        </w:rPr>
        <w:fldChar w:fldCharType="separate"/>
      </w:r>
      <w:r w:rsidR="00DE0AE9" w:rsidRPr="00DE0AE9">
        <w:rPr>
          <w:rFonts w:ascii="Calibri" w:cs="Calibri"/>
          <w:color w:val="000000"/>
          <w:vertAlign w:val="superscript"/>
          <w:lang w:val="en-US"/>
        </w:rPr>
        <w:t>8</w:t>
      </w:r>
      <w:r w:rsidRPr="0072606D">
        <w:rPr>
          <w:rFonts w:cstheme="minorHAnsi"/>
          <w:color w:val="333333"/>
          <w:lang w:val="en-US"/>
        </w:rPr>
        <w:fldChar w:fldCharType="end"/>
      </w:r>
      <w:r w:rsidRPr="0072606D">
        <w:rPr>
          <w:rFonts w:cstheme="minorHAnsi"/>
          <w:color w:val="333333"/>
          <w:lang w:val="en-US"/>
        </w:rPr>
        <w:t xml:space="preserve">. From the original data set we constructed data sets for 12 landmark time points from Haplo-HCT (day 0) to 360 days by 30 days, selecting patients alive in remission at these time points.  All potential risk factors were </w:t>
      </w:r>
      <w:r w:rsidRPr="0072606D">
        <w:rPr>
          <w:rFonts w:cstheme="minorHAnsi"/>
          <w:lang w:val="en-US"/>
        </w:rPr>
        <w:t>included as covariates in the multivariate model.</w:t>
      </w:r>
      <w:r w:rsidRPr="0072606D">
        <w:rPr>
          <w:rFonts w:cstheme="minorHAnsi"/>
          <w:color w:val="333333"/>
          <w:lang w:val="en-US"/>
        </w:rPr>
        <w:t xml:space="preserve"> In order to take into account for the “overlap” between landmark data sets, and since the data of the same patient are used repeatedly in the different landmark strata, we </w:t>
      </w:r>
      <w:bookmarkStart w:id="1" w:name="_Hlk17725469"/>
      <w:r w:rsidRPr="0072606D">
        <w:rPr>
          <w:rFonts w:cstheme="minorHAnsi"/>
          <w:color w:val="333333"/>
          <w:lang w:val="en-US"/>
        </w:rPr>
        <w:t xml:space="preserve">used a stacked data set containing all the landmark data sets </w:t>
      </w:r>
      <w:bookmarkEnd w:id="1"/>
      <w:r w:rsidRPr="0072606D">
        <w:rPr>
          <w:rFonts w:cstheme="minorHAnsi"/>
          <w:color w:val="333333"/>
          <w:lang w:val="en-US"/>
        </w:rPr>
        <w:t>and the final model was stratified on the landmark and standard errors obtained by taking into account the “clustering” of the data using the sandwich estimators of Lin and Wei (1989)</w:t>
      </w:r>
      <w:r w:rsidRPr="0072606D">
        <w:rPr>
          <w:rFonts w:cstheme="minorHAnsi"/>
          <w:color w:val="333333"/>
          <w:vertAlign w:val="superscript"/>
          <w:lang w:val="en-US"/>
        </w:rPr>
        <w:t xml:space="preserve"> </w:t>
      </w:r>
      <w:r w:rsidRPr="0072606D">
        <w:rPr>
          <w:rFonts w:cstheme="minorHAnsi"/>
          <w:color w:val="333333"/>
          <w:vertAlign w:val="superscript"/>
          <w:lang w:val="en-US"/>
        </w:rPr>
        <w:fldChar w:fldCharType="begin"/>
      </w:r>
      <w:r w:rsidR="00DE0AE9">
        <w:rPr>
          <w:rFonts w:cstheme="minorHAnsi"/>
          <w:color w:val="333333"/>
          <w:vertAlign w:val="superscript"/>
          <w:lang w:val="en-US"/>
        </w:rPr>
        <w:instrText xml:space="preserve"> ADDIN ZOTERO_ITEM CSL_CITATION {"citationID":"aO9isyWO","properties":{"formattedCitation":"\\super 9\\nosupersub{}","plainCitation":"9","noteIndex":0},"citationItems":[{"id":712,"uris":["http://zotero.org/users/6580195/items/7L92HCW2"],"itemData":{"id":712,"type":"article-journal","container-title":"J Am Stat Assoc","page":"1074-1078","title":"The robust inference for the Cox proportional hazards model","volume":"84","author":[{"family":"Lin","given":"DY."}]}}],"schema":"https://github.com/citation-style-language/schema/raw/master/csl-citation.json"} </w:instrText>
      </w:r>
      <w:r w:rsidRPr="0072606D">
        <w:rPr>
          <w:rFonts w:cstheme="minorHAnsi"/>
          <w:color w:val="333333"/>
          <w:vertAlign w:val="superscript"/>
          <w:lang w:val="en-US"/>
        </w:rPr>
        <w:fldChar w:fldCharType="separate"/>
      </w:r>
      <w:r w:rsidR="00DE0AE9" w:rsidRPr="00DE0AE9">
        <w:rPr>
          <w:rFonts w:ascii="Calibri" w:cs="Calibri"/>
          <w:color w:val="000000"/>
          <w:vertAlign w:val="superscript"/>
          <w:lang w:val="en-US"/>
        </w:rPr>
        <w:t>9</w:t>
      </w:r>
      <w:r w:rsidRPr="0072606D">
        <w:rPr>
          <w:rFonts w:cstheme="minorHAnsi"/>
          <w:color w:val="333333"/>
          <w:vertAlign w:val="superscript"/>
          <w:lang w:val="en-US"/>
        </w:rPr>
        <w:fldChar w:fldCharType="end"/>
      </w:r>
      <w:r w:rsidRPr="0072606D">
        <w:rPr>
          <w:rFonts w:cstheme="minorHAnsi"/>
          <w:color w:val="333333"/>
          <w:lang w:val="en-US"/>
        </w:rPr>
        <w:t xml:space="preserve">. We also fitted a simple Cox model at day 30, 100, 180 and 360.  </w:t>
      </w:r>
      <w:r w:rsidRPr="0072606D">
        <w:rPr>
          <w:rFonts w:cstheme="minorHAnsi"/>
          <w:lang w:val="en-US"/>
        </w:rPr>
        <w:t>Hazard ratios (HR) and 95% confidence intervals (95% CI) are reported.</w:t>
      </w:r>
    </w:p>
    <w:p w14:paraId="17779893" w14:textId="77777777" w:rsidR="005578E6" w:rsidRPr="0072606D" w:rsidRDefault="005578E6" w:rsidP="005578E6">
      <w:pPr>
        <w:autoSpaceDE w:val="0"/>
        <w:autoSpaceDN w:val="0"/>
        <w:adjustRightInd w:val="0"/>
        <w:spacing w:line="480" w:lineRule="auto"/>
        <w:ind w:firstLine="708"/>
        <w:jc w:val="both"/>
        <w:rPr>
          <w:rFonts w:cstheme="minorHAnsi"/>
          <w:lang w:val="en-US"/>
        </w:rPr>
      </w:pPr>
      <w:r w:rsidRPr="0072606D">
        <w:rPr>
          <w:rFonts w:cstheme="minorHAnsi"/>
          <w:bCs/>
          <w:lang w:val="en-US"/>
        </w:rPr>
        <w:t xml:space="preserve">Statistical analyses were performed with 4.1.1 </w:t>
      </w:r>
      <w:r w:rsidRPr="0072606D">
        <w:rPr>
          <w:rFonts w:cstheme="minorHAnsi"/>
          <w:lang w:val="en-US"/>
        </w:rPr>
        <w:t xml:space="preserve">(R Core Team (2021). R: A language and environment for statistical computing. R Foundation for Statistical Computing, Vienna, Austria. URL  </w:t>
      </w:r>
      <w:hyperlink r:id="rId6" w:history="1">
        <w:r w:rsidRPr="0072606D">
          <w:rPr>
            <w:rStyle w:val="Lienhypertexte"/>
            <w:rFonts w:eastAsiaTheme="majorEastAsia" w:cstheme="minorHAnsi"/>
            <w:lang w:val="en-US"/>
          </w:rPr>
          <w:t>https://www.R-project.org/</w:t>
        </w:r>
      </w:hyperlink>
      <w:r w:rsidRPr="0072606D">
        <w:rPr>
          <w:rFonts w:cstheme="minorHAnsi"/>
          <w:lang w:val="en-US"/>
        </w:rPr>
        <w:t>.), packages ‘survival’, ‘</w:t>
      </w:r>
      <w:proofErr w:type="spellStart"/>
      <w:r w:rsidRPr="0072606D">
        <w:rPr>
          <w:rFonts w:cstheme="minorHAnsi"/>
          <w:lang w:val="en-US"/>
        </w:rPr>
        <w:t>cmprsk</w:t>
      </w:r>
      <w:proofErr w:type="spellEnd"/>
      <w:r w:rsidRPr="0072606D">
        <w:rPr>
          <w:rFonts w:cstheme="minorHAnsi"/>
          <w:lang w:val="en-US"/>
        </w:rPr>
        <w:t>’ and ‘</w:t>
      </w:r>
      <w:proofErr w:type="spellStart"/>
      <w:r w:rsidRPr="0072606D">
        <w:rPr>
          <w:rFonts w:cstheme="minorHAnsi"/>
          <w:lang w:val="en-US"/>
        </w:rPr>
        <w:t>dynpred</w:t>
      </w:r>
      <w:proofErr w:type="spellEnd"/>
      <w:r w:rsidRPr="0072606D">
        <w:rPr>
          <w:rFonts w:cstheme="minorHAnsi"/>
          <w:lang w:val="en-US"/>
        </w:rPr>
        <w:t>’.</w:t>
      </w:r>
    </w:p>
    <w:p w14:paraId="04A7BD68" w14:textId="1D3A803E" w:rsidR="005578E6" w:rsidRPr="0072606D" w:rsidRDefault="005578E6" w:rsidP="005578E6">
      <w:pPr>
        <w:spacing w:line="480" w:lineRule="auto"/>
        <w:jc w:val="both"/>
        <w:rPr>
          <w:rFonts w:cstheme="minorHAnsi"/>
          <w:lang w:val="en-US"/>
        </w:rPr>
      </w:pPr>
    </w:p>
    <w:p w14:paraId="699FA9C6" w14:textId="43910C45" w:rsidR="005578E6" w:rsidRPr="0072606D" w:rsidRDefault="005578E6" w:rsidP="005578E6">
      <w:pPr>
        <w:rPr>
          <w:rFonts w:cstheme="minorHAnsi"/>
          <w:b/>
          <w:bCs/>
          <w:sz w:val="28"/>
          <w:szCs w:val="28"/>
          <w:lang w:val="en-US"/>
        </w:rPr>
      </w:pPr>
      <w:r w:rsidRPr="0072606D">
        <w:rPr>
          <w:rFonts w:cstheme="minorHAnsi"/>
          <w:b/>
          <w:bCs/>
          <w:sz w:val="28"/>
          <w:szCs w:val="28"/>
          <w:lang w:val="en-US"/>
        </w:rPr>
        <w:t xml:space="preserve">Supplemental </w:t>
      </w:r>
      <w:r w:rsidRPr="0072606D">
        <w:rPr>
          <w:rFonts w:cstheme="minorHAnsi"/>
          <w:b/>
          <w:bCs/>
          <w:sz w:val="28"/>
          <w:szCs w:val="28"/>
          <w:lang w:val="en-US"/>
        </w:rPr>
        <w:t>Results</w:t>
      </w:r>
    </w:p>
    <w:p w14:paraId="2D40F004" w14:textId="77777777" w:rsidR="005578E6" w:rsidRPr="0072606D" w:rsidRDefault="005578E6" w:rsidP="005578E6">
      <w:pPr>
        <w:rPr>
          <w:rFonts w:cstheme="minorHAnsi"/>
          <w:lang w:val="en-US"/>
        </w:rPr>
      </w:pPr>
    </w:p>
    <w:p w14:paraId="2F449030" w14:textId="583DA365" w:rsidR="005578E6" w:rsidRPr="0072606D" w:rsidRDefault="005578E6" w:rsidP="005578E6">
      <w:pPr>
        <w:spacing w:line="480" w:lineRule="auto"/>
        <w:jc w:val="both"/>
        <w:rPr>
          <w:rFonts w:cstheme="minorHAnsi"/>
          <w:b/>
          <w:lang w:val="en-US"/>
        </w:rPr>
      </w:pPr>
      <w:r w:rsidRPr="0072606D">
        <w:rPr>
          <w:rFonts w:cstheme="minorHAnsi"/>
          <w:b/>
          <w:lang w:val="en-US"/>
        </w:rPr>
        <w:t>Patients</w:t>
      </w:r>
    </w:p>
    <w:p w14:paraId="5D6BEA84" w14:textId="77777777" w:rsidR="00C54644" w:rsidRPr="0072606D" w:rsidRDefault="005578E6" w:rsidP="00DE0AE9">
      <w:pPr>
        <w:spacing w:line="480" w:lineRule="auto"/>
        <w:jc w:val="both"/>
        <w:rPr>
          <w:rFonts w:cstheme="minorHAnsi"/>
          <w:lang w:val="en-US"/>
        </w:rPr>
      </w:pPr>
      <w:r w:rsidRPr="0072606D">
        <w:rPr>
          <w:rFonts w:cstheme="minorHAnsi"/>
          <w:lang w:val="en-US"/>
        </w:rPr>
        <w:t>A total of 803 patients met the population selection criteria. One hundred and thirty-three patients were excluded from the analyses because they died before achieving engraftment (n=90), received a second transplantation for graft failure (n=10), because of missing data in the registry on GVHD (n=31), or missing information about conditioning intensity (n=2). Thus, the analyses were carried out in a total of 670 patients.</w:t>
      </w:r>
      <w:r w:rsidRPr="0072606D">
        <w:rPr>
          <w:rFonts w:cstheme="minorHAnsi"/>
          <w:lang w:val="en-US"/>
        </w:rPr>
        <w:t xml:space="preserve"> </w:t>
      </w:r>
      <w:r w:rsidRPr="0072606D">
        <w:rPr>
          <w:rFonts w:cstheme="minorHAnsi"/>
          <w:lang w:val="en-US"/>
        </w:rPr>
        <w:t>The number of patients at risk (</w:t>
      </w:r>
      <w:proofErr w:type="gramStart"/>
      <w:r w:rsidRPr="0072606D">
        <w:rPr>
          <w:rFonts w:cstheme="minorHAnsi"/>
          <w:lang w:val="en-US"/>
        </w:rPr>
        <w:t>i.e.</w:t>
      </w:r>
      <w:proofErr w:type="gramEnd"/>
      <w:r w:rsidRPr="0072606D">
        <w:rPr>
          <w:rFonts w:cstheme="minorHAnsi"/>
          <w:lang w:val="en-US"/>
        </w:rPr>
        <w:t xml:space="preserve"> alive without relapse) at the beginning of the </w:t>
      </w:r>
      <w:r w:rsidRPr="0072606D">
        <w:rPr>
          <w:rFonts w:cstheme="minorHAnsi"/>
          <w:lang w:val="en-US"/>
        </w:rPr>
        <w:t xml:space="preserve">landmark </w:t>
      </w:r>
      <w:r w:rsidRPr="0072606D">
        <w:rPr>
          <w:rFonts w:cstheme="minorHAnsi"/>
          <w:lang w:val="en-US"/>
        </w:rPr>
        <w:t>interval were 645 at 30 days, 477 at 100 days, 343 at 180 days, and 232 at 360 days.</w:t>
      </w:r>
      <w:r w:rsidR="00C54644" w:rsidRPr="0072606D">
        <w:rPr>
          <w:rFonts w:cstheme="minorHAnsi"/>
          <w:lang w:val="en-US"/>
        </w:rPr>
        <w:t xml:space="preserve"> </w:t>
      </w:r>
      <w:r w:rsidR="00C54644" w:rsidRPr="0072606D">
        <w:rPr>
          <w:rFonts w:cstheme="minorHAnsi"/>
          <w:lang w:val="en-US"/>
        </w:rPr>
        <w:t xml:space="preserve">Briefly, median patient age was 55.5 years </w:t>
      </w:r>
      <w:r w:rsidR="00C54644" w:rsidRPr="0072606D">
        <w:rPr>
          <w:rFonts w:cstheme="minorHAnsi"/>
          <w:lang w:val="en-US"/>
        </w:rPr>
        <w:lastRenderedPageBreak/>
        <w:t xml:space="preserve">(IQR, 42.8-68.3 years). Status at transplantation was primary refractory (n=366, 55%), first relapse (n=238, 35%) or second or more advanced relapse (n=66, 10%). </w:t>
      </w:r>
    </w:p>
    <w:p w14:paraId="091EDF86" w14:textId="23FDC0AE" w:rsidR="004E69D6" w:rsidRPr="0072606D" w:rsidRDefault="004E69D6" w:rsidP="00DE0AE9">
      <w:pPr>
        <w:spacing w:line="480" w:lineRule="auto"/>
        <w:jc w:val="both"/>
        <w:rPr>
          <w:rFonts w:cstheme="minorHAnsi"/>
          <w:lang w:val="en-US"/>
        </w:rPr>
      </w:pPr>
      <w:r w:rsidRPr="0072606D">
        <w:rPr>
          <w:rFonts w:cstheme="minorHAnsi"/>
          <w:lang w:val="en-US"/>
        </w:rPr>
        <w:t xml:space="preserve"> </w:t>
      </w:r>
      <w:r w:rsidR="00DE0AE9">
        <w:rPr>
          <w:rFonts w:cstheme="minorHAnsi"/>
          <w:lang w:val="en-US"/>
        </w:rPr>
        <w:tab/>
      </w:r>
      <w:r w:rsidRPr="0072606D">
        <w:rPr>
          <w:rFonts w:cstheme="minorHAnsi"/>
          <w:lang w:val="en-US"/>
        </w:rPr>
        <w:t xml:space="preserve">Conditioning was myeloablative (MAC) in 289 patients and RIC in the remaining 381 patients.  Stem cell source was </w:t>
      </w:r>
      <w:r w:rsidR="00DE0AE9">
        <w:rPr>
          <w:rFonts w:cstheme="minorHAnsi"/>
          <w:lang w:val="en-US"/>
        </w:rPr>
        <w:t>bone marrow (</w:t>
      </w:r>
      <w:r w:rsidRPr="0072606D">
        <w:rPr>
          <w:rFonts w:cstheme="minorHAnsi"/>
          <w:lang w:val="en-US"/>
        </w:rPr>
        <w:t>BM</w:t>
      </w:r>
      <w:r w:rsidR="00DE0AE9">
        <w:rPr>
          <w:rFonts w:cstheme="minorHAnsi"/>
          <w:lang w:val="en-US"/>
        </w:rPr>
        <w:t>)</w:t>
      </w:r>
      <w:r w:rsidRPr="0072606D">
        <w:rPr>
          <w:rFonts w:cstheme="minorHAnsi"/>
          <w:lang w:val="en-US"/>
        </w:rPr>
        <w:t xml:space="preserve"> in 216 patients (32%) and </w:t>
      </w:r>
      <w:r w:rsidR="00DE0AE9">
        <w:rPr>
          <w:rFonts w:cstheme="minorHAnsi"/>
          <w:lang w:val="en-US"/>
        </w:rPr>
        <w:t>peripheral blood stem cells (</w:t>
      </w:r>
      <w:r w:rsidRPr="0072606D">
        <w:rPr>
          <w:rFonts w:cstheme="minorHAnsi"/>
          <w:lang w:val="en-US"/>
        </w:rPr>
        <w:t>PBSC</w:t>
      </w:r>
      <w:r w:rsidR="00DE0AE9">
        <w:rPr>
          <w:rFonts w:cstheme="minorHAnsi"/>
          <w:lang w:val="en-US"/>
        </w:rPr>
        <w:t>)</w:t>
      </w:r>
      <w:r w:rsidRPr="0072606D">
        <w:rPr>
          <w:rFonts w:cstheme="minorHAnsi"/>
          <w:lang w:val="en-US"/>
        </w:rPr>
        <w:t xml:space="preserve"> in the 454 (68%) remaining patients. Eighty-five patients (13%) were given </w:t>
      </w:r>
      <w:r w:rsidRPr="0072606D">
        <w:rPr>
          <w:rFonts w:cstheme="minorHAnsi"/>
          <w:i/>
          <w:lang w:val="en-US"/>
        </w:rPr>
        <w:t>in vivo</w:t>
      </w:r>
      <w:r w:rsidRPr="0072606D">
        <w:rPr>
          <w:rFonts w:cstheme="minorHAnsi"/>
          <w:lang w:val="en-US"/>
        </w:rPr>
        <w:t xml:space="preserve"> T-cell depletion. </w:t>
      </w:r>
    </w:p>
    <w:p w14:paraId="07A9689C" w14:textId="423EF205" w:rsidR="004E69D6" w:rsidRPr="0072606D" w:rsidRDefault="004E69D6" w:rsidP="00DE0AE9">
      <w:pPr>
        <w:spacing w:line="480" w:lineRule="auto"/>
        <w:jc w:val="both"/>
        <w:rPr>
          <w:rFonts w:cstheme="minorHAnsi"/>
          <w:lang w:val="en-US"/>
        </w:rPr>
      </w:pPr>
    </w:p>
    <w:p w14:paraId="03D783E2" w14:textId="44DAA44A" w:rsidR="007B3D78" w:rsidRPr="0072606D" w:rsidRDefault="007B3D78" w:rsidP="00DE0AE9">
      <w:pPr>
        <w:spacing w:line="480" w:lineRule="auto"/>
        <w:jc w:val="both"/>
        <w:rPr>
          <w:rFonts w:cstheme="minorHAnsi"/>
          <w:lang w:val="en-US"/>
        </w:rPr>
      </w:pPr>
      <w:r w:rsidRPr="0072606D">
        <w:rPr>
          <w:rFonts w:cstheme="minorHAnsi"/>
          <w:b/>
          <w:bCs/>
          <w:lang w:val="en-US"/>
        </w:rPr>
        <w:t>Transplantation outcomes</w:t>
      </w:r>
    </w:p>
    <w:p w14:paraId="359AFE7E" w14:textId="6A2178F4" w:rsidR="007B3D78" w:rsidRPr="0072606D" w:rsidRDefault="007B3D78" w:rsidP="00DE0AE9">
      <w:pPr>
        <w:spacing w:line="480" w:lineRule="auto"/>
        <w:jc w:val="both"/>
        <w:rPr>
          <w:rFonts w:cstheme="minorHAnsi"/>
          <w:lang w:val="en-US"/>
        </w:rPr>
      </w:pPr>
      <w:r w:rsidRPr="0072606D">
        <w:rPr>
          <w:rFonts w:cstheme="minorHAnsi"/>
          <w:lang w:val="en-US"/>
        </w:rPr>
        <w:t xml:space="preserve">The 2-year cumulative incidences of relapse and NRM were 49% (95% CI: 45-52.8%) and 18.7% (95% CI: 15.8-21.9%), respectively. The 2-year </w:t>
      </w:r>
      <w:r w:rsidR="00DE0AE9">
        <w:rPr>
          <w:rFonts w:cstheme="minorHAnsi"/>
          <w:lang w:val="en-US"/>
        </w:rPr>
        <w:t>LFS</w:t>
      </w:r>
      <w:r w:rsidRPr="0072606D">
        <w:rPr>
          <w:rFonts w:cstheme="minorHAnsi"/>
          <w:lang w:val="en-US"/>
        </w:rPr>
        <w:t xml:space="preserve"> and </w:t>
      </w:r>
      <w:r w:rsidR="00DE0AE9">
        <w:rPr>
          <w:rFonts w:cstheme="minorHAnsi"/>
          <w:lang w:val="en-US"/>
        </w:rPr>
        <w:t>OS</w:t>
      </w:r>
      <w:r w:rsidRPr="0072606D">
        <w:rPr>
          <w:rFonts w:cstheme="minorHAnsi"/>
          <w:lang w:val="en-US"/>
        </w:rPr>
        <w:t xml:space="preserve"> were 32.3% (95% CI: 28.6-36.1%) and 36.1% (95% CI: 32.2-40%), respectively.</w:t>
      </w:r>
    </w:p>
    <w:p w14:paraId="6F068DE7" w14:textId="697EB746" w:rsidR="005578E6" w:rsidRPr="0072606D" w:rsidRDefault="005578E6" w:rsidP="00DE0AE9">
      <w:pPr>
        <w:spacing w:line="480" w:lineRule="auto"/>
        <w:jc w:val="both"/>
        <w:rPr>
          <w:rFonts w:cstheme="minorHAnsi"/>
          <w:lang w:val="en-US"/>
        </w:rPr>
      </w:pPr>
    </w:p>
    <w:p w14:paraId="3D49E90C" w14:textId="7339040E" w:rsidR="005578E6" w:rsidRPr="0072606D" w:rsidRDefault="005578E6" w:rsidP="00DE0AE9">
      <w:pPr>
        <w:spacing w:line="480" w:lineRule="auto"/>
        <w:jc w:val="both"/>
        <w:rPr>
          <w:rFonts w:cstheme="minorHAnsi"/>
          <w:b/>
          <w:bCs/>
          <w:lang w:val="en-US"/>
        </w:rPr>
      </w:pPr>
      <w:r w:rsidRPr="0072606D">
        <w:rPr>
          <w:rFonts w:cstheme="minorHAnsi"/>
          <w:b/>
          <w:bCs/>
          <w:lang w:val="en-US"/>
        </w:rPr>
        <w:t>Landmark analyses</w:t>
      </w:r>
    </w:p>
    <w:p w14:paraId="6D5D90BC" w14:textId="1098C849" w:rsidR="004E69D6" w:rsidRPr="0072606D" w:rsidRDefault="004E69D6" w:rsidP="00DE0AE9">
      <w:pPr>
        <w:spacing w:line="480" w:lineRule="auto"/>
        <w:jc w:val="both"/>
        <w:rPr>
          <w:rFonts w:cstheme="minorHAnsi"/>
          <w:lang w:val="en-US"/>
        </w:rPr>
      </w:pPr>
      <w:r w:rsidRPr="0072606D">
        <w:rPr>
          <w:rFonts w:cstheme="minorHAnsi"/>
          <w:lang w:val="en-US"/>
        </w:rPr>
        <w:t>Factors associated with the relapse incidence in the final model stratified on landmark time points included adverse cytogenetics (HR=1.8</w:t>
      </w:r>
      <w:r w:rsidR="00DE0AE9">
        <w:rPr>
          <w:rFonts w:cstheme="minorHAnsi"/>
          <w:lang w:val="en-US"/>
        </w:rPr>
        <w:t>3</w:t>
      </w:r>
      <w:r w:rsidRPr="0072606D">
        <w:rPr>
          <w:rFonts w:cstheme="minorHAnsi"/>
          <w:lang w:val="en-US"/>
        </w:rPr>
        <w:t>, 95% CI: 1.3</w:t>
      </w:r>
      <w:r w:rsidR="00DE0AE9">
        <w:rPr>
          <w:rFonts w:cstheme="minorHAnsi"/>
          <w:lang w:val="en-US"/>
        </w:rPr>
        <w:t>7</w:t>
      </w:r>
      <w:r w:rsidRPr="0072606D">
        <w:rPr>
          <w:rFonts w:cstheme="minorHAnsi"/>
          <w:lang w:val="en-US"/>
        </w:rPr>
        <w:t>-2.4</w:t>
      </w:r>
      <w:r w:rsidR="00DE0AE9">
        <w:rPr>
          <w:rFonts w:cstheme="minorHAnsi"/>
          <w:lang w:val="en-US"/>
        </w:rPr>
        <w:t>5</w:t>
      </w:r>
      <w:r w:rsidRPr="0072606D">
        <w:rPr>
          <w:rFonts w:cstheme="minorHAnsi"/>
          <w:lang w:val="en-US"/>
        </w:rPr>
        <w:t xml:space="preserve">, P&lt;0.0001) and </w:t>
      </w:r>
      <w:r w:rsidRPr="0072606D">
        <w:rPr>
          <w:rFonts w:cstheme="minorHAnsi"/>
          <w:i/>
          <w:lang w:val="en-US"/>
        </w:rPr>
        <w:t>in vivo</w:t>
      </w:r>
      <w:r w:rsidRPr="0072606D">
        <w:rPr>
          <w:rFonts w:cstheme="minorHAnsi"/>
          <w:lang w:val="en-US"/>
        </w:rPr>
        <w:t xml:space="preserve"> T-cell depletion (HR=1.</w:t>
      </w:r>
      <w:r w:rsidR="00DE0AE9">
        <w:rPr>
          <w:rFonts w:cstheme="minorHAnsi"/>
          <w:lang w:val="en-US"/>
        </w:rPr>
        <w:t>59</w:t>
      </w:r>
      <w:r w:rsidRPr="0072606D">
        <w:rPr>
          <w:rFonts w:cstheme="minorHAnsi"/>
          <w:lang w:val="en-US"/>
        </w:rPr>
        <w:t>, 95% CI 1.0</w:t>
      </w:r>
      <w:r w:rsidR="00DE0AE9">
        <w:rPr>
          <w:rFonts w:cstheme="minorHAnsi"/>
          <w:lang w:val="en-US"/>
        </w:rPr>
        <w:t>3</w:t>
      </w:r>
      <w:r w:rsidRPr="0072606D">
        <w:rPr>
          <w:rFonts w:cstheme="minorHAnsi"/>
          <w:lang w:val="en-US"/>
        </w:rPr>
        <w:t>-2.4</w:t>
      </w:r>
      <w:r w:rsidR="00D35FCC">
        <w:rPr>
          <w:rFonts w:cstheme="minorHAnsi"/>
          <w:lang w:val="en-US"/>
        </w:rPr>
        <w:t>4</w:t>
      </w:r>
      <w:r w:rsidRPr="0072606D">
        <w:rPr>
          <w:rFonts w:cstheme="minorHAnsi"/>
          <w:lang w:val="en-US"/>
        </w:rPr>
        <w:t>, P=0.032).</w:t>
      </w:r>
      <w:r w:rsidR="00C54644" w:rsidRPr="0072606D">
        <w:rPr>
          <w:rFonts w:cstheme="minorHAnsi"/>
          <w:lang w:val="en-US"/>
        </w:rPr>
        <w:t xml:space="preserve"> Besides grade III-IV acute and extensive chronic GVHD, o</w:t>
      </w:r>
      <w:r w:rsidR="00C54644" w:rsidRPr="0072606D">
        <w:rPr>
          <w:rFonts w:cstheme="minorHAnsi"/>
          <w:lang w:val="en-US"/>
        </w:rPr>
        <w:t xml:space="preserve">lder patient age </w:t>
      </w:r>
      <w:r w:rsidR="00D35FCC" w:rsidRPr="0072606D">
        <w:rPr>
          <w:rFonts w:cstheme="minorHAnsi"/>
          <w:lang w:val="en-US"/>
        </w:rPr>
        <w:t>(HR=1.5</w:t>
      </w:r>
      <w:r w:rsidR="00D35FCC">
        <w:rPr>
          <w:rFonts w:cstheme="minorHAnsi"/>
          <w:lang w:val="en-US"/>
        </w:rPr>
        <w:t>6</w:t>
      </w:r>
      <w:r w:rsidR="00D35FCC" w:rsidRPr="0072606D">
        <w:rPr>
          <w:rFonts w:cstheme="minorHAnsi"/>
          <w:lang w:val="en-US"/>
        </w:rPr>
        <w:t>, 95%CI: 1.2</w:t>
      </w:r>
      <w:r w:rsidR="00D35FCC">
        <w:rPr>
          <w:rFonts w:cstheme="minorHAnsi"/>
          <w:lang w:val="en-US"/>
        </w:rPr>
        <w:t>7</w:t>
      </w:r>
      <w:r w:rsidR="00D35FCC" w:rsidRPr="0072606D">
        <w:rPr>
          <w:rFonts w:cstheme="minorHAnsi"/>
          <w:lang w:val="en-US"/>
        </w:rPr>
        <w:t>-1.9</w:t>
      </w:r>
      <w:r w:rsidR="00D35FCC">
        <w:rPr>
          <w:rFonts w:cstheme="minorHAnsi"/>
          <w:lang w:val="en-US"/>
        </w:rPr>
        <w:t>1</w:t>
      </w:r>
      <w:r w:rsidR="00D35FCC" w:rsidRPr="0072606D">
        <w:rPr>
          <w:rFonts w:cstheme="minorHAnsi"/>
          <w:lang w:val="en-US"/>
        </w:rPr>
        <w:t>, P&lt;0.0001)</w:t>
      </w:r>
      <w:r w:rsidR="00D35FCC">
        <w:rPr>
          <w:rFonts w:cstheme="minorHAnsi"/>
          <w:lang w:val="en-US"/>
        </w:rPr>
        <w:t xml:space="preserve"> and PBSC as stem cell source </w:t>
      </w:r>
      <w:r w:rsidR="00D35FCC" w:rsidRPr="0072606D">
        <w:rPr>
          <w:rFonts w:cstheme="minorHAnsi"/>
          <w:lang w:val="en-US"/>
        </w:rPr>
        <w:t>(HR=1.</w:t>
      </w:r>
      <w:r w:rsidR="00D35FCC">
        <w:rPr>
          <w:rFonts w:cstheme="minorHAnsi"/>
          <w:lang w:val="en-US"/>
        </w:rPr>
        <w:t>6</w:t>
      </w:r>
      <w:r w:rsidR="00D35FCC">
        <w:rPr>
          <w:rFonts w:cstheme="minorHAnsi"/>
          <w:lang w:val="en-US"/>
        </w:rPr>
        <w:t>6</w:t>
      </w:r>
      <w:r w:rsidR="00D35FCC" w:rsidRPr="0072606D">
        <w:rPr>
          <w:rFonts w:cstheme="minorHAnsi"/>
          <w:lang w:val="en-US"/>
        </w:rPr>
        <w:t>, 95%CI: 1.</w:t>
      </w:r>
      <w:r w:rsidR="00D35FCC">
        <w:rPr>
          <w:rFonts w:cstheme="minorHAnsi"/>
          <w:lang w:val="en-US"/>
        </w:rPr>
        <w:t>01</w:t>
      </w:r>
      <w:r w:rsidR="00D35FCC" w:rsidRPr="0072606D">
        <w:rPr>
          <w:rFonts w:cstheme="minorHAnsi"/>
          <w:lang w:val="en-US"/>
        </w:rPr>
        <w:t>-</w:t>
      </w:r>
      <w:r w:rsidR="00D35FCC">
        <w:rPr>
          <w:rFonts w:cstheme="minorHAnsi"/>
          <w:lang w:val="en-US"/>
        </w:rPr>
        <w:t>2</w:t>
      </w:r>
      <w:r w:rsidR="00D35FCC" w:rsidRPr="0072606D">
        <w:rPr>
          <w:rFonts w:cstheme="minorHAnsi"/>
          <w:lang w:val="en-US"/>
        </w:rPr>
        <w:t>.</w:t>
      </w:r>
      <w:r w:rsidR="00D35FCC">
        <w:rPr>
          <w:rFonts w:cstheme="minorHAnsi"/>
          <w:lang w:val="en-US"/>
        </w:rPr>
        <w:t>72</w:t>
      </w:r>
      <w:r w:rsidR="00D35FCC" w:rsidRPr="0072606D">
        <w:rPr>
          <w:rFonts w:cstheme="minorHAnsi"/>
          <w:lang w:val="en-US"/>
        </w:rPr>
        <w:t>, P</w:t>
      </w:r>
      <w:r w:rsidR="00D35FCC">
        <w:rPr>
          <w:rFonts w:cstheme="minorHAnsi"/>
          <w:lang w:val="en-US"/>
        </w:rPr>
        <w:t>=</w:t>
      </w:r>
      <w:r w:rsidR="00D35FCC" w:rsidRPr="0072606D">
        <w:rPr>
          <w:rFonts w:cstheme="minorHAnsi"/>
          <w:lang w:val="en-US"/>
        </w:rPr>
        <w:t>0.0</w:t>
      </w:r>
      <w:r w:rsidR="00D35FCC">
        <w:rPr>
          <w:rFonts w:cstheme="minorHAnsi"/>
          <w:lang w:val="en-US"/>
        </w:rPr>
        <w:t>46</w:t>
      </w:r>
      <w:r w:rsidR="00D35FCC" w:rsidRPr="0072606D">
        <w:rPr>
          <w:rFonts w:cstheme="minorHAnsi"/>
          <w:lang w:val="en-US"/>
        </w:rPr>
        <w:t>)</w:t>
      </w:r>
      <w:r w:rsidR="00D35FCC">
        <w:rPr>
          <w:rFonts w:cstheme="minorHAnsi"/>
          <w:lang w:val="en-US"/>
        </w:rPr>
        <w:t xml:space="preserve"> </w:t>
      </w:r>
      <w:r w:rsidR="00C54644" w:rsidRPr="0072606D">
        <w:rPr>
          <w:rFonts w:cstheme="minorHAnsi"/>
          <w:lang w:val="en-US"/>
        </w:rPr>
        <w:t>w</w:t>
      </w:r>
      <w:r w:rsidR="00D35FCC">
        <w:rPr>
          <w:rFonts w:cstheme="minorHAnsi"/>
          <w:lang w:val="en-US"/>
        </w:rPr>
        <w:t>ere</w:t>
      </w:r>
      <w:r w:rsidR="00C54644" w:rsidRPr="0072606D">
        <w:rPr>
          <w:rFonts w:cstheme="minorHAnsi"/>
          <w:lang w:val="en-US"/>
        </w:rPr>
        <w:t xml:space="preserve"> also associated with higher </w:t>
      </w:r>
      <w:proofErr w:type="gramStart"/>
      <w:r w:rsidR="00C54644" w:rsidRPr="0072606D">
        <w:rPr>
          <w:rFonts w:cstheme="minorHAnsi"/>
          <w:lang w:val="en-US"/>
        </w:rPr>
        <w:t>NRM  without</w:t>
      </w:r>
      <w:proofErr w:type="gramEnd"/>
      <w:r w:rsidR="00C54644" w:rsidRPr="0072606D">
        <w:rPr>
          <w:rFonts w:cstheme="minorHAnsi"/>
          <w:lang w:val="en-US"/>
        </w:rPr>
        <w:t xml:space="preserve"> significantly affecting LFS and OS. In contrast, </w:t>
      </w:r>
      <w:proofErr w:type="spellStart"/>
      <w:r w:rsidR="00C54644" w:rsidRPr="0072606D">
        <w:rPr>
          <w:rFonts w:cstheme="minorHAnsi"/>
          <w:lang w:val="en-US"/>
        </w:rPr>
        <w:t>Karnofsky</w:t>
      </w:r>
      <w:proofErr w:type="spellEnd"/>
      <w:r w:rsidR="00C54644" w:rsidRPr="0072606D">
        <w:rPr>
          <w:rFonts w:cstheme="minorHAnsi"/>
          <w:lang w:val="en-US"/>
        </w:rPr>
        <w:t xml:space="preserve"> performance score &gt;=90 was associated with lower NRM (HR=0.</w:t>
      </w:r>
      <w:r w:rsidR="00D35FCC">
        <w:rPr>
          <w:rFonts w:cstheme="minorHAnsi"/>
          <w:lang w:val="en-US"/>
        </w:rPr>
        <w:t>61</w:t>
      </w:r>
      <w:r w:rsidR="00C54644" w:rsidRPr="0072606D">
        <w:rPr>
          <w:rFonts w:cstheme="minorHAnsi"/>
          <w:lang w:val="en-US"/>
        </w:rPr>
        <w:t>, 95%CI: 0.</w:t>
      </w:r>
      <w:r w:rsidR="00D35FCC">
        <w:rPr>
          <w:rFonts w:cstheme="minorHAnsi"/>
          <w:lang w:val="en-US"/>
        </w:rPr>
        <w:t>40</w:t>
      </w:r>
      <w:r w:rsidR="00C54644" w:rsidRPr="0072606D">
        <w:rPr>
          <w:rFonts w:cstheme="minorHAnsi"/>
          <w:lang w:val="en-US"/>
        </w:rPr>
        <w:t>-0.9</w:t>
      </w:r>
      <w:r w:rsidR="00D35FCC">
        <w:rPr>
          <w:rFonts w:cstheme="minorHAnsi"/>
          <w:lang w:val="en-US"/>
        </w:rPr>
        <w:t>3</w:t>
      </w:r>
      <w:r w:rsidR="00C54644" w:rsidRPr="0072606D">
        <w:rPr>
          <w:rFonts w:cstheme="minorHAnsi"/>
          <w:lang w:val="en-US"/>
        </w:rPr>
        <w:t>, P=0.0</w:t>
      </w:r>
      <w:r w:rsidR="00D35FCC">
        <w:rPr>
          <w:rFonts w:cstheme="minorHAnsi"/>
          <w:lang w:val="en-US"/>
        </w:rPr>
        <w:t>22</w:t>
      </w:r>
      <w:r w:rsidR="00C54644" w:rsidRPr="0072606D">
        <w:rPr>
          <w:rFonts w:cstheme="minorHAnsi"/>
          <w:lang w:val="en-US"/>
        </w:rPr>
        <w:t>). Finally, adverse-risk cytogenetics correlated with lower LFS (HR=1.</w:t>
      </w:r>
      <w:r w:rsidR="00D35FCC">
        <w:rPr>
          <w:rFonts w:cstheme="minorHAnsi"/>
          <w:lang w:val="en-US"/>
        </w:rPr>
        <w:t>68</w:t>
      </w:r>
      <w:r w:rsidR="00C54644" w:rsidRPr="0072606D">
        <w:rPr>
          <w:rFonts w:cstheme="minorHAnsi"/>
          <w:lang w:val="en-US"/>
        </w:rPr>
        <w:t>, 95%CI: 1.3</w:t>
      </w:r>
      <w:r w:rsidR="00D35FCC">
        <w:rPr>
          <w:rFonts w:cstheme="minorHAnsi"/>
          <w:lang w:val="en-US"/>
        </w:rPr>
        <w:t>2</w:t>
      </w:r>
      <w:r w:rsidR="00C54644" w:rsidRPr="0072606D">
        <w:rPr>
          <w:rFonts w:cstheme="minorHAnsi"/>
          <w:lang w:val="en-US"/>
        </w:rPr>
        <w:t>-2.1</w:t>
      </w:r>
      <w:r w:rsidR="00D35FCC">
        <w:rPr>
          <w:rFonts w:cstheme="minorHAnsi"/>
          <w:lang w:val="en-US"/>
        </w:rPr>
        <w:t>3</w:t>
      </w:r>
      <w:r w:rsidR="00C54644" w:rsidRPr="0072606D">
        <w:rPr>
          <w:rFonts w:cstheme="minorHAnsi"/>
          <w:lang w:val="en-US"/>
        </w:rPr>
        <w:t>, P&lt;0.0001) and OS (HR=1.6</w:t>
      </w:r>
      <w:r w:rsidR="00D35FCC">
        <w:rPr>
          <w:rFonts w:cstheme="minorHAnsi"/>
          <w:lang w:val="en-US"/>
        </w:rPr>
        <w:t>5</w:t>
      </w:r>
      <w:r w:rsidR="00C54644" w:rsidRPr="0072606D">
        <w:rPr>
          <w:rFonts w:cstheme="minorHAnsi"/>
          <w:lang w:val="en-US"/>
        </w:rPr>
        <w:t>, 95%CI: 1.</w:t>
      </w:r>
      <w:r w:rsidR="00D35FCC">
        <w:rPr>
          <w:rFonts w:cstheme="minorHAnsi"/>
          <w:lang w:val="en-US"/>
        </w:rPr>
        <w:t>28</w:t>
      </w:r>
      <w:r w:rsidR="00C54644" w:rsidRPr="0072606D">
        <w:rPr>
          <w:rFonts w:cstheme="minorHAnsi"/>
          <w:lang w:val="en-US"/>
        </w:rPr>
        <w:t>-2.1</w:t>
      </w:r>
      <w:r w:rsidR="00D35FCC">
        <w:rPr>
          <w:rFonts w:cstheme="minorHAnsi"/>
          <w:lang w:val="en-US"/>
        </w:rPr>
        <w:t>2</w:t>
      </w:r>
      <w:r w:rsidR="00C54644" w:rsidRPr="0072606D">
        <w:rPr>
          <w:rFonts w:cstheme="minorHAnsi"/>
          <w:lang w:val="en-US"/>
        </w:rPr>
        <w:t>, P</w:t>
      </w:r>
      <w:r w:rsidR="00D35FCC">
        <w:rPr>
          <w:rFonts w:cstheme="minorHAnsi"/>
          <w:lang w:val="en-US"/>
        </w:rPr>
        <w:t>=</w:t>
      </w:r>
      <w:r w:rsidR="00C54644" w:rsidRPr="0072606D">
        <w:rPr>
          <w:rFonts w:cstheme="minorHAnsi"/>
          <w:lang w:val="en-US"/>
        </w:rPr>
        <w:t>0.0001).</w:t>
      </w:r>
    </w:p>
    <w:p w14:paraId="2D4A7820" w14:textId="31AF233B" w:rsidR="007B3D78" w:rsidRPr="0072606D" w:rsidRDefault="007B3D78" w:rsidP="00DE0AE9">
      <w:pPr>
        <w:spacing w:line="480" w:lineRule="auto"/>
        <w:ind w:firstLine="708"/>
        <w:jc w:val="both"/>
        <w:rPr>
          <w:rFonts w:cstheme="minorHAnsi"/>
          <w:lang w:val="en-US"/>
        </w:rPr>
      </w:pPr>
      <w:r w:rsidRPr="0072606D">
        <w:rPr>
          <w:rFonts w:cstheme="minorHAnsi"/>
          <w:lang w:val="en-US"/>
        </w:rPr>
        <w:lastRenderedPageBreak/>
        <w:t>In addition, it should be stressed that the absence of association between GVHD occurrence and the risk of relapse was also observed when ATG patients were removed from the analyses</w:t>
      </w:r>
      <w:r w:rsidR="00D35FCC">
        <w:rPr>
          <w:rFonts w:cstheme="minorHAnsi"/>
          <w:lang w:val="en-US"/>
        </w:rPr>
        <w:t xml:space="preserve"> (supplemental Table 2)</w:t>
      </w:r>
      <w:r w:rsidRPr="0072606D">
        <w:rPr>
          <w:rFonts w:cstheme="minorHAnsi"/>
          <w:lang w:val="en-US"/>
        </w:rPr>
        <w:t>.</w:t>
      </w:r>
    </w:p>
    <w:p w14:paraId="608018F6" w14:textId="16DAB72F" w:rsidR="007B3D78" w:rsidRPr="0072606D" w:rsidRDefault="007B3D78">
      <w:pPr>
        <w:rPr>
          <w:rFonts w:cstheme="minorHAnsi"/>
          <w:lang w:val="en-US"/>
        </w:rPr>
      </w:pPr>
    </w:p>
    <w:p w14:paraId="158CC322" w14:textId="77777777" w:rsidR="00D35FCC" w:rsidRDefault="00D35FCC" w:rsidP="001B651F">
      <w:pPr>
        <w:spacing w:line="480" w:lineRule="auto"/>
        <w:jc w:val="both"/>
        <w:rPr>
          <w:rFonts w:cstheme="minorHAnsi"/>
          <w:b/>
          <w:lang w:val="en-US"/>
        </w:rPr>
      </w:pPr>
    </w:p>
    <w:p w14:paraId="2E26283D" w14:textId="77777777" w:rsidR="00D35FCC" w:rsidRPr="00D35FCC" w:rsidRDefault="00D35FCC" w:rsidP="00D35FCC">
      <w:pPr>
        <w:spacing w:line="480" w:lineRule="auto"/>
        <w:jc w:val="both"/>
        <w:rPr>
          <w:rFonts w:cstheme="minorHAnsi"/>
          <w:b/>
          <w:bCs/>
          <w:sz w:val="28"/>
          <w:szCs w:val="28"/>
          <w:lang w:val="en-US"/>
        </w:rPr>
      </w:pPr>
      <w:r w:rsidRPr="00D35FCC">
        <w:rPr>
          <w:rFonts w:cstheme="minorHAnsi"/>
          <w:b/>
          <w:bCs/>
          <w:sz w:val="28"/>
          <w:szCs w:val="28"/>
          <w:lang w:val="en-US"/>
        </w:rPr>
        <w:t>References</w:t>
      </w:r>
    </w:p>
    <w:p w14:paraId="08E268EE" w14:textId="77777777" w:rsidR="00D35FCC" w:rsidRPr="00DE0AE9" w:rsidRDefault="00D35FCC" w:rsidP="00D35FCC">
      <w:pPr>
        <w:pStyle w:val="Bibliography"/>
        <w:rPr>
          <w:rFonts w:ascii="Calibri" w:cs="Calibri"/>
        </w:rPr>
      </w:pPr>
      <w:r>
        <w:fldChar w:fldCharType="begin"/>
      </w:r>
      <w:r>
        <w:instrText xml:space="preserve"> ADDIN ZOTERO_BIBL {"uncited":[],"omitted":[],"custom":[]} CSL_BIBLIOGRAPHY </w:instrText>
      </w:r>
      <w:r>
        <w:fldChar w:fldCharType="separate"/>
      </w:r>
      <w:r w:rsidRPr="00DE0AE9">
        <w:rPr>
          <w:rFonts w:ascii="Calibri" w:cs="Calibri"/>
        </w:rPr>
        <w:t xml:space="preserve">1 </w:t>
      </w:r>
      <w:r w:rsidRPr="00DE0AE9">
        <w:rPr>
          <w:rFonts w:ascii="Calibri" w:cs="Calibri"/>
        </w:rPr>
        <w:tab/>
        <w:t xml:space="preserve">Baron F, Ruggeri A, </w:t>
      </w:r>
      <w:proofErr w:type="spellStart"/>
      <w:r w:rsidRPr="00DE0AE9">
        <w:rPr>
          <w:rFonts w:ascii="Calibri" w:cs="Calibri"/>
        </w:rPr>
        <w:t>Beohou</w:t>
      </w:r>
      <w:proofErr w:type="spellEnd"/>
      <w:r w:rsidRPr="00DE0AE9">
        <w:rPr>
          <w:rFonts w:ascii="Calibri" w:cs="Calibri"/>
        </w:rPr>
        <w:t xml:space="preserve"> E, </w:t>
      </w:r>
      <w:proofErr w:type="spellStart"/>
      <w:r w:rsidRPr="00DE0AE9">
        <w:rPr>
          <w:rFonts w:ascii="Calibri" w:cs="Calibri"/>
        </w:rPr>
        <w:t>Labopin</w:t>
      </w:r>
      <w:proofErr w:type="spellEnd"/>
      <w:r w:rsidRPr="00DE0AE9">
        <w:rPr>
          <w:rFonts w:ascii="Calibri" w:cs="Calibri"/>
        </w:rPr>
        <w:t xml:space="preserve"> M, Sanz G, </w:t>
      </w:r>
      <w:proofErr w:type="spellStart"/>
      <w:r w:rsidRPr="00DE0AE9">
        <w:rPr>
          <w:rFonts w:ascii="Calibri" w:cs="Calibri"/>
        </w:rPr>
        <w:t>Milpied</w:t>
      </w:r>
      <w:proofErr w:type="spellEnd"/>
      <w:r w:rsidRPr="00DE0AE9">
        <w:rPr>
          <w:rFonts w:ascii="Calibri" w:cs="Calibri"/>
        </w:rPr>
        <w:t xml:space="preserve"> N </w:t>
      </w:r>
      <w:r w:rsidRPr="00DE0AE9">
        <w:rPr>
          <w:rFonts w:ascii="Calibri" w:cs="Calibri"/>
          <w:i/>
          <w:iCs/>
        </w:rPr>
        <w:t>et al.</w:t>
      </w:r>
      <w:r w:rsidRPr="00DE0AE9">
        <w:rPr>
          <w:rFonts w:ascii="Calibri" w:cs="Calibri"/>
        </w:rPr>
        <w:t xml:space="preserve"> RIC versus MAC UCBT in adults with AML: A report from </w:t>
      </w:r>
      <w:proofErr w:type="spellStart"/>
      <w:r w:rsidRPr="00DE0AE9">
        <w:rPr>
          <w:rFonts w:ascii="Calibri" w:cs="Calibri"/>
        </w:rPr>
        <w:t>Eurocord</w:t>
      </w:r>
      <w:proofErr w:type="spellEnd"/>
      <w:r w:rsidRPr="00DE0AE9">
        <w:rPr>
          <w:rFonts w:ascii="Calibri" w:cs="Calibri"/>
        </w:rPr>
        <w:t xml:space="preserve">, the ALWP and </w:t>
      </w:r>
      <w:proofErr w:type="gramStart"/>
      <w:r w:rsidRPr="00DE0AE9">
        <w:rPr>
          <w:rFonts w:ascii="Calibri" w:cs="Calibri"/>
        </w:rPr>
        <w:t>the  CTIWP</w:t>
      </w:r>
      <w:proofErr w:type="gramEnd"/>
      <w:r w:rsidRPr="00DE0AE9">
        <w:rPr>
          <w:rFonts w:ascii="Calibri" w:cs="Calibri"/>
        </w:rPr>
        <w:t xml:space="preserve"> of the EBMT. </w:t>
      </w:r>
      <w:proofErr w:type="spellStart"/>
      <w:r w:rsidRPr="00DE0AE9">
        <w:rPr>
          <w:rFonts w:ascii="Calibri" w:cs="Calibri"/>
          <w:i/>
          <w:iCs/>
        </w:rPr>
        <w:t>Oncotarget</w:t>
      </w:r>
      <w:proofErr w:type="spellEnd"/>
      <w:r w:rsidRPr="00DE0AE9">
        <w:rPr>
          <w:rFonts w:ascii="Calibri" w:cs="Calibri"/>
        </w:rPr>
        <w:t xml:space="preserve"> 2016; </w:t>
      </w:r>
      <w:r w:rsidRPr="00DE0AE9">
        <w:rPr>
          <w:rFonts w:ascii="Calibri" w:cs="Calibri"/>
          <w:b/>
          <w:bCs/>
        </w:rPr>
        <w:t>7</w:t>
      </w:r>
      <w:r w:rsidRPr="00DE0AE9">
        <w:rPr>
          <w:rFonts w:ascii="Calibri" w:cs="Calibri"/>
        </w:rPr>
        <w:t>: 43027–43038.</w:t>
      </w:r>
    </w:p>
    <w:p w14:paraId="70E031D9" w14:textId="77777777" w:rsidR="00D35FCC" w:rsidRPr="00DE0AE9" w:rsidRDefault="00D35FCC" w:rsidP="00D35FCC">
      <w:pPr>
        <w:pStyle w:val="Bibliography"/>
        <w:rPr>
          <w:rFonts w:ascii="Calibri" w:cs="Calibri"/>
        </w:rPr>
      </w:pPr>
      <w:r w:rsidRPr="00DE0AE9">
        <w:rPr>
          <w:rFonts w:ascii="Calibri" w:cs="Calibri"/>
        </w:rPr>
        <w:t xml:space="preserve">2 </w:t>
      </w:r>
      <w:r w:rsidRPr="00DE0AE9">
        <w:rPr>
          <w:rFonts w:ascii="Calibri" w:cs="Calibri"/>
        </w:rPr>
        <w:tab/>
        <w:t xml:space="preserve">Baron F, </w:t>
      </w:r>
      <w:proofErr w:type="spellStart"/>
      <w:r w:rsidRPr="00DE0AE9">
        <w:rPr>
          <w:rFonts w:ascii="Calibri" w:cs="Calibri"/>
        </w:rPr>
        <w:t>Labopin</w:t>
      </w:r>
      <w:proofErr w:type="spellEnd"/>
      <w:r w:rsidRPr="00DE0AE9">
        <w:rPr>
          <w:rFonts w:ascii="Calibri" w:cs="Calibri"/>
        </w:rPr>
        <w:t xml:space="preserve"> M, </w:t>
      </w:r>
      <w:proofErr w:type="spellStart"/>
      <w:r w:rsidRPr="00DE0AE9">
        <w:rPr>
          <w:rFonts w:ascii="Calibri" w:cs="Calibri"/>
        </w:rPr>
        <w:t>Tischer</w:t>
      </w:r>
      <w:proofErr w:type="spellEnd"/>
      <w:r w:rsidRPr="00DE0AE9">
        <w:rPr>
          <w:rFonts w:ascii="Calibri" w:cs="Calibri"/>
        </w:rPr>
        <w:t xml:space="preserve"> J, </w:t>
      </w:r>
      <w:proofErr w:type="spellStart"/>
      <w:r w:rsidRPr="00DE0AE9">
        <w:rPr>
          <w:rFonts w:ascii="Calibri" w:cs="Calibri"/>
        </w:rPr>
        <w:t>Ciceri</w:t>
      </w:r>
      <w:proofErr w:type="spellEnd"/>
      <w:r w:rsidRPr="00DE0AE9">
        <w:rPr>
          <w:rFonts w:ascii="Calibri" w:cs="Calibri"/>
        </w:rPr>
        <w:t xml:space="preserve"> F, Raiola AM, Blaise D </w:t>
      </w:r>
      <w:r w:rsidRPr="00DE0AE9">
        <w:rPr>
          <w:rFonts w:ascii="Calibri" w:cs="Calibri"/>
          <w:i/>
          <w:iCs/>
        </w:rPr>
        <w:t>et al.</w:t>
      </w:r>
      <w:r w:rsidRPr="00DE0AE9">
        <w:rPr>
          <w:rFonts w:ascii="Calibri" w:cs="Calibri"/>
        </w:rPr>
        <w:t xml:space="preserve"> Human leukocyte antigen-haploidentical transplantation for relapsed/refractory acute myeloid leukemia: Better leukemia-free survival with bone marrow than </w:t>
      </w:r>
      <w:proofErr w:type="gramStart"/>
      <w:r w:rsidRPr="00DE0AE9">
        <w:rPr>
          <w:rFonts w:ascii="Calibri" w:cs="Calibri"/>
        </w:rPr>
        <w:t>with  peripheral</w:t>
      </w:r>
      <w:proofErr w:type="gramEnd"/>
      <w:r w:rsidRPr="00DE0AE9">
        <w:rPr>
          <w:rFonts w:ascii="Calibri" w:cs="Calibri"/>
        </w:rPr>
        <w:t xml:space="preserve"> blood stem cells in patients ≥55 years of age. </w:t>
      </w:r>
      <w:r w:rsidRPr="00DE0AE9">
        <w:rPr>
          <w:rFonts w:ascii="Calibri" w:cs="Calibri"/>
          <w:i/>
          <w:iCs/>
        </w:rPr>
        <w:t xml:space="preserve">Am J </w:t>
      </w:r>
      <w:proofErr w:type="spellStart"/>
      <w:r w:rsidRPr="00DE0AE9">
        <w:rPr>
          <w:rFonts w:ascii="Calibri" w:cs="Calibri"/>
          <w:i/>
          <w:iCs/>
        </w:rPr>
        <w:t>Hematol</w:t>
      </w:r>
      <w:proofErr w:type="spellEnd"/>
      <w:r w:rsidRPr="00DE0AE9">
        <w:rPr>
          <w:rFonts w:ascii="Calibri" w:cs="Calibri"/>
        </w:rPr>
        <w:t xml:space="preserve"> 2022; </w:t>
      </w:r>
      <w:r w:rsidRPr="00DE0AE9">
        <w:rPr>
          <w:rFonts w:ascii="Calibri" w:cs="Calibri"/>
          <w:b/>
          <w:bCs/>
        </w:rPr>
        <w:t>97</w:t>
      </w:r>
      <w:r w:rsidRPr="00DE0AE9">
        <w:rPr>
          <w:rFonts w:ascii="Calibri" w:cs="Calibri"/>
        </w:rPr>
        <w:t>: 1065–1074.</w:t>
      </w:r>
    </w:p>
    <w:p w14:paraId="63E5454B" w14:textId="77777777" w:rsidR="00D35FCC" w:rsidRPr="00DE0AE9" w:rsidRDefault="00D35FCC" w:rsidP="00D35FCC">
      <w:pPr>
        <w:pStyle w:val="Bibliography"/>
        <w:rPr>
          <w:rFonts w:ascii="Calibri" w:cs="Calibri"/>
        </w:rPr>
      </w:pPr>
      <w:r w:rsidRPr="00DE0AE9">
        <w:rPr>
          <w:rFonts w:ascii="Calibri" w:cs="Calibri"/>
        </w:rPr>
        <w:t xml:space="preserve">3 </w:t>
      </w:r>
      <w:r w:rsidRPr="00DE0AE9">
        <w:rPr>
          <w:rFonts w:ascii="Calibri" w:cs="Calibri"/>
        </w:rPr>
        <w:tab/>
        <w:t xml:space="preserve">Glucksberg H, </w:t>
      </w:r>
      <w:proofErr w:type="spellStart"/>
      <w:r w:rsidRPr="00DE0AE9">
        <w:rPr>
          <w:rFonts w:ascii="Calibri" w:cs="Calibri"/>
        </w:rPr>
        <w:t>Storb</w:t>
      </w:r>
      <w:proofErr w:type="spellEnd"/>
      <w:r w:rsidRPr="00DE0AE9">
        <w:rPr>
          <w:rFonts w:ascii="Calibri" w:cs="Calibri"/>
        </w:rPr>
        <w:t xml:space="preserve"> R, </w:t>
      </w:r>
      <w:proofErr w:type="spellStart"/>
      <w:r w:rsidRPr="00DE0AE9">
        <w:rPr>
          <w:rFonts w:ascii="Calibri" w:cs="Calibri"/>
        </w:rPr>
        <w:t>Fefer</w:t>
      </w:r>
      <w:proofErr w:type="spellEnd"/>
      <w:r w:rsidRPr="00DE0AE9">
        <w:rPr>
          <w:rFonts w:ascii="Calibri" w:cs="Calibri"/>
        </w:rPr>
        <w:t xml:space="preserve"> A, Buckner CD, Neiman PE, Clift RA </w:t>
      </w:r>
      <w:r w:rsidRPr="00DE0AE9">
        <w:rPr>
          <w:rFonts w:ascii="Calibri" w:cs="Calibri"/>
          <w:i/>
          <w:iCs/>
        </w:rPr>
        <w:t>et al.</w:t>
      </w:r>
      <w:r w:rsidRPr="00DE0AE9">
        <w:rPr>
          <w:rFonts w:ascii="Calibri" w:cs="Calibri"/>
        </w:rPr>
        <w:t xml:space="preserve"> Clinical manifestations of graft-versus-host disease in human recipients of marrow from HL-A-matched sibling donors. </w:t>
      </w:r>
      <w:r w:rsidRPr="00DE0AE9">
        <w:rPr>
          <w:rFonts w:ascii="Calibri" w:cs="Calibri"/>
          <w:i/>
          <w:iCs/>
        </w:rPr>
        <w:t>Transplantation</w:t>
      </w:r>
      <w:r w:rsidRPr="00DE0AE9">
        <w:rPr>
          <w:rFonts w:ascii="Calibri" w:cs="Calibri"/>
        </w:rPr>
        <w:t xml:space="preserve"> 1974; </w:t>
      </w:r>
      <w:r w:rsidRPr="00DE0AE9">
        <w:rPr>
          <w:rFonts w:ascii="Calibri" w:cs="Calibri"/>
          <w:b/>
          <w:bCs/>
        </w:rPr>
        <w:t>18</w:t>
      </w:r>
      <w:r w:rsidRPr="00DE0AE9">
        <w:rPr>
          <w:rFonts w:ascii="Calibri" w:cs="Calibri"/>
        </w:rPr>
        <w:t>: 295–304.</w:t>
      </w:r>
    </w:p>
    <w:p w14:paraId="6DA04B00" w14:textId="77777777" w:rsidR="00D35FCC" w:rsidRPr="00DE0AE9" w:rsidRDefault="00D35FCC" w:rsidP="00D35FCC">
      <w:pPr>
        <w:pStyle w:val="Bibliography"/>
        <w:rPr>
          <w:rFonts w:ascii="Calibri" w:cs="Calibri"/>
          <w:lang w:val="nl-BE"/>
        </w:rPr>
      </w:pPr>
      <w:r w:rsidRPr="00DE0AE9">
        <w:rPr>
          <w:rFonts w:ascii="Calibri" w:cs="Calibri"/>
        </w:rPr>
        <w:t xml:space="preserve">4 </w:t>
      </w:r>
      <w:r w:rsidRPr="00DE0AE9">
        <w:rPr>
          <w:rFonts w:ascii="Calibri" w:cs="Calibri"/>
        </w:rPr>
        <w:tab/>
      </w:r>
      <w:proofErr w:type="spellStart"/>
      <w:r w:rsidRPr="00DE0AE9">
        <w:rPr>
          <w:rFonts w:ascii="Calibri" w:cs="Calibri"/>
        </w:rPr>
        <w:t>Sorror</w:t>
      </w:r>
      <w:proofErr w:type="spellEnd"/>
      <w:r w:rsidRPr="00DE0AE9">
        <w:rPr>
          <w:rFonts w:ascii="Calibri" w:cs="Calibri"/>
        </w:rPr>
        <w:t xml:space="preserve"> ML, Maris MB, </w:t>
      </w:r>
      <w:proofErr w:type="spellStart"/>
      <w:r w:rsidRPr="00DE0AE9">
        <w:rPr>
          <w:rFonts w:ascii="Calibri" w:cs="Calibri"/>
        </w:rPr>
        <w:t>Storb</w:t>
      </w:r>
      <w:proofErr w:type="spellEnd"/>
      <w:r w:rsidRPr="00DE0AE9">
        <w:rPr>
          <w:rFonts w:ascii="Calibri" w:cs="Calibri"/>
        </w:rPr>
        <w:t xml:space="preserve"> R, Baron F, </w:t>
      </w:r>
      <w:proofErr w:type="spellStart"/>
      <w:r w:rsidRPr="00DE0AE9">
        <w:rPr>
          <w:rFonts w:ascii="Calibri" w:cs="Calibri"/>
        </w:rPr>
        <w:t>Sandmaier</w:t>
      </w:r>
      <w:proofErr w:type="spellEnd"/>
      <w:r w:rsidRPr="00DE0AE9">
        <w:rPr>
          <w:rFonts w:ascii="Calibri" w:cs="Calibri"/>
        </w:rPr>
        <w:t xml:space="preserve"> BM, Maloney DG </w:t>
      </w:r>
      <w:r w:rsidRPr="00DE0AE9">
        <w:rPr>
          <w:rFonts w:ascii="Calibri" w:cs="Calibri"/>
          <w:i/>
          <w:iCs/>
        </w:rPr>
        <w:t>et al.</w:t>
      </w:r>
      <w:r w:rsidRPr="00DE0AE9">
        <w:rPr>
          <w:rFonts w:ascii="Calibri" w:cs="Calibri"/>
        </w:rPr>
        <w:t xml:space="preserve"> Hematopoietic cell transplantation (HCT)-specific comorbidity index: a new tool for risk assessment before allogeneic HCT. </w:t>
      </w:r>
      <w:r w:rsidRPr="00DE0AE9">
        <w:rPr>
          <w:rFonts w:ascii="Calibri" w:cs="Calibri"/>
          <w:i/>
          <w:iCs/>
          <w:lang w:val="nl-BE"/>
        </w:rPr>
        <w:t>Blood</w:t>
      </w:r>
      <w:r w:rsidRPr="00DE0AE9">
        <w:rPr>
          <w:rFonts w:ascii="Calibri" w:cs="Calibri"/>
          <w:lang w:val="nl-BE"/>
        </w:rPr>
        <w:t xml:space="preserve"> 2005; </w:t>
      </w:r>
      <w:r w:rsidRPr="00DE0AE9">
        <w:rPr>
          <w:rFonts w:ascii="Calibri" w:cs="Calibri"/>
          <w:b/>
          <w:bCs/>
          <w:lang w:val="nl-BE"/>
        </w:rPr>
        <w:t>106</w:t>
      </w:r>
      <w:r w:rsidRPr="00DE0AE9">
        <w:rPr>
          <w:rFonts w:ascii="Calibri" w:cs="Calibri"/>
          <w:lang w:val="nl-BE"/>
        </w:rPr>
        <w:t>: 2912–2919.</w:t>
      </w:r>
    </w:p>
    <w:p w14:paraId="396A2966" w14:textId="77777777" w:rsidR="00D35FCC" w:rsidRPr="00DE0AE9" w:rsidRDefault="00D35FCC" w:rsidP="00D35FCC">
      <w:pPr>
        <w:pStyle w:val="Bibliography"/>
        <w:rPr>
          <w:rFonts w:ascii="Calibri" w:cs="Calibri"/>
        </w:rPr>
      </w:pPr>
      <w:r w:rsidRPr="00DE0AE9">
        <w:rPr>
          <w:rFonts w:ascii="Calibri" w:cs="Calibri"/>
          <w:lang w:val="nl-BE"/>
        </w:rPr>
        <w:t xml:space="preserve">5 </w:t>
      </w:r>
      <w:r w:rsidRPr="00DE0AE9">
        <w:rPr>
          <w:rFonts w:ascii="Calibri" w:cs="Calibri"/>
          <w:lang w:val="nl-BE"/>
        </w:rPr>
        <w:tab/>
        <w:t xml:space="preserve">Poiani M, Labopin M, Battipaglia G, Beelen DW, Tischer J, Finke J </w:t>
      </w:r>
      <w:r w:rsidRPr="00DE0AE9">
        <w:rPr>
          <w:rFonts w:ascii="Calibri" w:cs="Calibri"/>
          <w:i/>
          <w:iCs/>
          <w:lang w:val="nl-BE"/>
        </w:rPr>
        <w:t>et al.</w:t>
      </w:r>
      <w:r w:rsidRPr="00DE0AE9">
        <w:rPr>
          <w:rFonts w:ascii="Calibri" w:cs="Calibri"/>
          <w:lang w:val="nl-BE"/>
        </w:rPr>
        <w:t xml:space="preserve"> </w:t>
      </w:r>
      <w:r w:rsidRPr="00DE0AE9">
        <w:rPr>
          <w:rFonts w:ascii="Calibri" w:cs="Calibri"/>
        </w:rPr>
        <w:t xml:space="preserve">The impact of cytogenetic risk on the outcomes of allogeneic hematopoietic cell transplantation in patients with relapsed/refractory acute myeloid leukemia: </w:t>
      </w:r>
      <w:proofErr w:type="gramStart"/>
      <w:r w:rsidRPr="00DE0AE9">
        <w:rPr>
          <w:rFonts w:ascii="Calibri" w:cs="Calibri"/>
        </w:rPr>
        <w:t>On  behalf</w:t>
      </w:r>
      <w:proofErr w:type="gramEnd"/>
      <w:r w:rsidRPr="00DE0AE9">
        <w:rPr>
          <w:rFonts w:ascii="Calibri" w:cs="Calibri"/>
        </w:rPr>
        <w:t xml:space="preserve"> of the acute leukemia working party (ALWP) of the European group for blood  and marrow transplantation (EBMT). </w:t>
      </w:r>
      <w:r w:rsidRPr="00DE0AE9">
        <w:rPr>
          <w:rFonts w:ascii="Calibri" w:cs="Calibri"/>
          <w:i/>
          <w:iCs/>
        </w:rPr>
        <w:t xml:space="preserve">Am J </w:t>
      </w:r>
      <w:proofErr w:type="spellStart"/>
      <w:r w:rsidRPr="00DE0AE9">
        <w:rPr>
          <w:rFonts w:ascii="Calibri" w:cs="Calibri"/>
          <w:i/>
          <w:iCs/>
        </w:rPr>
        <w:t>Hematol</w:t>
      </w:r>
      <w:proofErr w:type="spellEnd"/>
      <w:r w:rsidRPr="00DE0AE9">
        <w:rPr>
          <w:rFonts w:ascii="Calibri" w:cs="Calibri"/>
        </w:rPr>
        <w:t xml:space="preserve"> 2021; </w:t>
      </w:r>
      <w:r w:rsidRPr="00DE0AE9">
        <w:rPr>
          <w:rFonts w:ascii="Calibri" w:cs="Calibri"/>
          <w:b/>
          <w:bCs/>
        </w:rPr>
        <w:t>96</w:t>
      </w:r>
      <w:r w:rsidRPr="00DE0AE9">
        <w:rPr>
          <w:rFonts w:ascii="Calibri" w:cs="Calibri"/>
        </w:rPr>
        <w:t>: 40–50.</w:t>
      </w:r>
    </w:p>
    <w:p w14:paraId="38C30532" w14:textId="77777777" w:rsidR="00D35FCC" w:rsidRPr="00DE0AE9" w:rsidRDefault="00D35FCC" w:rsidP="00D35FCC">
      <w:pPr>
        <w:pStyle w:val="Bibliography"/>
        <w:rPr>
          <w:rFonts w:ascii="Calibri" w:cs="Calibri"/>
        </w:rPr>
      </w:pPr>
      <w:r w:rsidRPr="00DE0AE9">
        <w:rPr>
          <w:rFonts w:ascii="Calibri" w:cs="Calibri"/>
        </w:rPr>
        <w:t xml:space="preserve">6 </w:t>
      </w:r>
      <w:r w:rsidRPr="00DE0AE9">
        <w:rPr>
          <w:rFonts w:ascii="Calibri" w:cs="Calibri"/>
        </w:rPr>
        <w:tab/>
      </w:r>
      <w:proofErr w:type="spellStart"/>
      <w:r w:rsidRPr="00DE0AE9">
        <w:rPr>
          <w:rFonts w:ascii="Calibri" w:cs="Calibri"/>
        </w:rPr>
        <w:t>Nagler</w:t>
      </w:r>
      <w:proofErr w:type="spellEnd"/>
      <w:r w:rsidRPr="00DE0AE9">
        <w:rPr>
          <w:rFonts w:ascii="Calibri" w:cs="Calibri"/>
        </w:rPr>
        <w:t xml:space="preserve"> A, </w:t>
      </w:r>
      <w:proofErr w:type="spellStart"/>
      <w:r w:rsidRPr="00DE0AE9">
        <w:rPr>
          <w:rFonts w:ascii="Calibri" w:cs="Calibri"/>
        </w:rPr>
        <w:t>Labopin</w:t>
      </w:r>
      <w:proofErr w:type="spellEnd"/>
      <w:r w:rsidRPr="00DE0AE9">
        <w:rPr>
          <w:rFonts w:ascii="Calibri" w:cs="Calibri"/>
        </w:rPr>
        <w:t xml:space="preserve"> M, </w:t>
      </w:r>
      <w:proofErr w:type="spellStart"/>
      <w:r w:rsidRPr="00DE0AE9">
        <w:rPr>
          <w:rFonts w:ascii="Calibri" w:cs="Calibri"/>
        </w:rPr>
        <w:t>Canaani</w:t>
      </w:r>
      <w:proofErr w:type="spellEnd"/>
      <w:r w:rsidRPr="00DE0AE9">
        <w:rPr>
          <w:rFonts w:ascii="Calibri" w:cs="Calibri"/>
        </w:rPr>
        <w:t xml:space="preserve"> J, </w:t>
      </w:r>
      <w:proofErr w:type="spellStart"/>
      <w:r w:rsidRPr="00DE0AE9">
        <w:rPr>
          <w:rFonts w:ascii="Calibri" w:cs="Calibri"/>
        </w:rPr>
        <w:t>Niittyvuopio</w:t>
      </w:r>
      <w:proofErr w:type="spellEnd"/>
      <w:r w:rsidRPr="00DE0AE9">
        <w:rPr>
          <w:rFonts w:ascii="Calibri" w:cs="Calibri"/>
        </w:rPr>
        <w:t xml:space="preserve"> R, </w:t>
      </w:r>
      <w:proofErr w:type="spellStart"/>
      <w:r w:rsidRPr="00DE0AE9">
        <w:rPr>
          <w:rFonts w:ascii="Calibri" w:cs="Calibri"/>
        </w:rPr>
        <w:t>Socié</w:t>
      </w:r>
      <w:proofErr w:type="spellEnd"/>
      <w:r w:rsidRPr="00DE0AE9">
        <w:rPr>
          <w:rFonts w:ascii="Calibri" w:cs="Calibri"/>
        </w:rPr>
        <w:t xml:space="preserve"> G, </w:t>
      </w:r>
      <w:proofErr w:type="spellStart"/>
      <w:r w:rsidRPr="00DE0AE9">
        <w:rPr>
          <w:rFonts w:ascii="Calibri" w:cs="Calibri"/>
        </w:rPr>
        <w:t>Kröger</w:t>
      </w:r>
      <w:proofErr w:type="spellEnd"/>
      <w:r w:rsidRPr="00DE0AE9">
        <w:rPr>
          <w:rFonts w:ascii="Calibri" w:cs="Calibri"/>
        </w:rPr>
        <w:t xml:space="preserve"> N </w:t>
      </w:r>
      <w:r w:rsidRPr="00DE0AE9">
        <w:rPr>
          <w:rFonts w:ascii="Calibri" w:cs="Calibri"/>
          <w:i/>
          <w:iCs/>
        </w:rPr>
        <w:t>et al.</w:t>
      </w:r>
      <w:r w:rsidRPr="00DE0AE9">
        <w:rPr>
          <w:rFonts w:ascii="Calibri" w:cs="Calibri"/>
        </w:rPr>
        <w:t xml:space="preserve"> Cytogenetic risk score maintains its prognostic significance in AML patients with detectable measurable residual disease undergoing transplantation in remission: </w:t>
      </w:r>
      <w:proofErr w:type="gramStart"/>
      <w:r w:rsidRPr="00DE0AE9">
        <w:rPr>
          <w:rFonts w:ascii="Calibri" w:cs="Calibri"/>
        </w:rPr>
        <w:t>On  behalf</w:t>
      </w:r>
      <w:proofErr w:type="gramEnd"/>
      <w:r w:rsidRPr="00DE0AE9">
        <w:rPr>
          <w:rFonts w:ascii="Calibri" w:cs="Calibri"/>
        </w:rPr>
        <w:t xml:space="preserve"> of the acute leukemia working party of the European society for blood and  marrow transplantation. </w:t>
      </w:r>
      <w:r w:rsidRPr="00DE0AE9">
        <w:rPr>
          <w:rFonts w:ascii="Calibri" w:cs="Calibri"/>
          <w:i/>
          <w:iCs/>
        </w:rPr>
        <w:t xml:space="preserve">Am J </w:t>
      </w:r>
      <w:proofErr w:type="spellStart"/>
      <w:r w:rsidRPr="00DE0AE9">
        <w:rPr>
          <w:rFonts w:ascii="Calibri" w:cs="Calibri"/>
          <w:i/>
          <w:iCs/>
        </w:rPr>
        <w:t>Hematol</w:t>
      </w:r>
      <w:proofErr w:type="spellEnd"/>
      <w:r w:rsidRPr="00DE0AE9">
        <w:rPr>
          <w:rFonts w:ascii="Calibri" w:cs="Calibri"/>
        </w:rPr>
        <w:t xml:space="preserve"> 2020. doi:10.1002/ajh.25905.</w:t>
      </w:r>
    </w:p>
    <w:p w14:paraId="2CAB3285" w14:textId="77777777" w:rsidR="00D35FCC" w:rsidRPr="00DE0AE9" w:rsidRDefault="00D35FCC" w:rsidP="00D35FCC">
      <w:pPr>
        <w:pStyle w:val="Bibliography"/>
        <w:rPr>
          <w:rFonts w:ascii="Calibri" w:cs="Calibri"/>
        </w:rPr>
      </w:pPr>
      <w:r w:rsidRPr="00DE0AE9">
        <w:rPr>
          <w:rFonts w:ascii="Calibri" w:cs="Calibri"/>
        </w:rPr>
        <w:t xml:space="preserve">7 </w:t>
      </w:r>
      <w:r w:rsidRPr="00DE0AE9">
        <w:rPr>
          <w:rFonts w:ascii="Calibri" w:cs="Calibri"/>
        </w:rPr>
        <w:tab/>
        <w:t xml:space="preserve">van </w:t>
      </w:r>
      <w:proofErr w:type="spellStart"/>
      <w:r w:rsidRPr="00DE0AE9">
        <w:rPr>
          <w:rFonts w:ascii="Calibri" w:cs="Calibri"/>
        </w:rPr>
        <w:t>Houwelingen</w:t>
      </w:r>
      <w:proofErr w:type="spellEnd"/>
      <w:r w:rsidRPr="00DE0AE9">
        <w:rPr>
          <w:rFonts w:ascii="Calibri" w:cs="Calibri"/>
        </w:rPr>
        <w:t xml:space="preserve"> HC. Dynamic prediction by landmarking in event history analysis. </w:t>
      </w:r>
      <w:proofErr w:type="spellStart"/>
      <w:r w:rsidRPr="00DE0AE9">
        <w:rPr>
          <w:rFonts w:ascii="Calibri" w:cs="Calibri"/>
          <w:i/>
          <w:iCs/>
        </w:rPr>
        <w:t>Scand</w:t>
      </w:r>
      <w:proofErr w:type="spellEnd"/>
      <w:r w:rsidRPr="00DE0AE9">
        <w:rPr>
          <w:rFonts w:ascii="Calibri" w:cs="Calibri"/>
          <w:i/>
          <w:iCs/>
        </w:rPr>
        <w:t xml:space="preserve"> J Stat</w:t>
      </w:r>
      <w:r w:rsidRPr="00DE0AE9">
        <w:rPr>
          <w:rFonts w:ascii="Calibri" w:cs="Calibri"/>
        </w:rPr>
        <w:t xml:space="preserve"> 2007; </w:t>
      </w:r>
      <w:r w:rsidRPr="00DE0AE9">
        <w:rPr>
          <w:rFonts w:ascii="Calibri" w:cs="Calibri"/>
          <w:b/>
          <w:bCs/>
        </w:rPr>
        <w:t>34</w:t>
      </w:r>
      <w:r w:rsidRPr="00DE0AE9">
        <w:rPr>
          <w:rFonts w:ascii="Calibri" w:cs="Calibri"/>
        </w:rPr>
        <w:t>: 70–85.</w:t>
      </w:r>
    </w:p>
    <w:p w14:paraId="3EBDEC9C" w14:textId="77777777" w:rsidR="00D35FCC" w:rsidRPr="00DE0AE9" w:rsidRDefault="00D35FCC" w:rsidP="00D35FCC">
      <w:pPr>
        <w:pStyle w:val="Bibliography"/>
        <w:rPr>
          <w:rFonts w:ascii="Calibri" w:cs="Calibri"/>
        </w:rPr>
      </w:pPr>
      <w:r w:rsidRPr="00DE0AE9">
        <w:rPr>
          <w:rFonts w:ascii="Calibri" w:cs="Calibri"/>
        </w:rPr>
        <w:t xml:space="preserve">8 </w:t>
      </w:r>
      <w:r w:rsidRPr="00DE0AE9">
        <w:rPr>
          <w:rFonts w:ascii="Calibri" w:cs="Calibri"/>
        </w:rPr>
        <w:tab/>
        <w:t xml:space="preserve">van </w:t>
      </w:r>
      <w:proofErr w:type="spellStart"/>
      <w:r w:rsidRPr="00DE0AE9">
        <w:rPr>
          <w:rFonts w:ascii="Calibri" w:cs="Calibri"/>
        </w:rPr>
        <w:t>Houwelingen</w:t>
      </w:r>
      <w:proofErr w:type="spellEnd"/>
      <w:r w:rsidRPr="00DE0AE9">
        <w:rPr>
          <w:rFonts w:ascii="Calibri" w:cs="Calibri"/>
        </w:rPr>
        <w:t xml:space="preserve"> HC, Putter H. Dynamic predicting by landmarking as an alternative for multi-state modeling: an application to acute lymphoid leukemia data. </w:t>
      </w:r>
      <w:r w:rsidRPr="00DE0AE9">
        <w:rPr>
          <w:rFonts w:ascii="Calibri" w:cs="Calibri"/>
          <w:i/>
          <w:iCs/>
        </w:rPr>
        <w:t>Lifetime Data Anal</w:t>
      </w:r>
      <w:r w:rsidRPr="00DE0AE9">
        <w:rPr>
          <w:rFonts w:ascii="Calibri" w:cs="Calibri"/>
        </w:rPr>
        <w:t xml:space="preserve"> 2008; </w:t>
      </w:r>
      <w:r w:rsidRPr="00DE0AE9">
        <w:rPr>
          <w:rFonts w:ascii="Calibri" w:cs="Calibri"/>
          <w:b/>
          <w:bCs/>
        </w:rPr>
        <w:t>14</w:t>
      </w:r>
      <w:r w:rsidRPr="00DE0AE9">
        <w:rPr>
          <w:rFonts w:ascii="Calibri" w:cs="Calibri"/>
        </w:rPr>
        <w:t>: 447–463.</w:t>
      </w:r>
    </w:p>
    <w:p w14:paraId="172B03C7" w14:textId="77777777" w:rsidR="00D35FCC" w:rsidRPr="00DE0AE9" w:rsidRDefault="00D35FCC" w:rsidP="00D35FCC">
      <w:pPr>
        <w:pStyle w:val="Bibliography"/>
        <w:rPr>
          <w:rFonts w:ascii="Calibri" w:cs="Calibri"/>
        </w:rPr>
      </w:pPr>
      <w:r w:rsidRPr="00DE0AE9">
        <w:rPr>
          <w:rFonts w:ascii="Calibri" w:cs="Calibri"/>
        </w:rPr>
        <w:lastRenderedPageBreak/>
        <w:t xml:space="preserve">9 </w:t>
      </w:r>
      <w:r w:rsidRPr="00DE0AE9">
        <w:rPr>
          <w:rFonts w:ascii="Calibri" w:cs="Calibri"/>
        </w:rPr>
        <w:tab/>
        <w:t xml:space="preserve">Lin DY. The robust inference for the Cox proportional hazards model. </w:t>
      </w:r>
      <w:r w:rsidRPr="00DE0AE9">
        <w:rPr>
          <w:rFonts w:ascii="Calibri" w:cs="Calibri"/>
          <w:i/>
          <w:iCs/>
        </w:rPr>
        <w:t>J Am Stat Assoc</w:t>
      </w:r>
      <w:r w:rsidRPr="00DE0AE9">
        <w:rPr>
          <w:rFonts w:ascii="Calibri" w:cs="Calibri"/>
        </w:rPr>
        <w:t xml:space="preserve">; </w:t>
      </w:r>
      <w:r w:rsidRPr="00DE0AE9">
        <w:rPr>
          <w:rFonts w:ascii="Calibri" w:cs="Calibri"/>
          <w:b/>
          <w:bCs/>
        </w:rPr>
        <w:t>84</w:t>
      </w:r>
      <w:r w:rsidRPr="00DE0AE9">
        <w:rPr>
          <w:rFonts w:ascii="Calibri" w:cs="Calibri"/>
        </w:rPr>
        <w:t>: 1074–1078.</w:t>
      </w:r>
    </w:p>
    <w:p w14:paraId="683C9A5E" w14:textId="77777777" w:rsidR="00D35FCC" w:rsidRPr="0072606D" w:rsidRDefault="00D35FCC" w:rsidP="00D35FCC">
      <w:pPr>
        <w:rPr>
          <w:rFonts w:cstheme="minorHAnsi"/>
          <w:lang w:val="en-US"/>
        </w:rPr>
      </w:pPr>
      <w:r>
        <w:rPr>
          <w:rFonts w:cstheme="minorHAnsi"/>
          <w:lang w:val="en-US"/>
        </w:rPr>
        <w:fldChar w:fldCharType="end"/>
      </w:r>
    </w:p>
    <w:p w14:paraId="6921D21C" w14:textId="77777777" w:rsidR="00D35FCC" w:rsidRDefault="00D35FCC">
      <w:pPr>
        <w:rPr>
          <w:rFonts w:cstheme="minorHAnsi"/>
          <w:b/>
          <w:lang w:val="en-GB"/>
        </w:rPr>
      </w:pPr>
      <w:r>
        <w:rPr>
          <w:rFonts w:cstheme="minorHAnsi"/>
          <w:b/>
          <w:lang w:val="en-GB"/>
        </w:rPr>
        <w:br w:type="page"/>
      </w:r>
    </w:p>
    <w:p w14:paraId="567E638E" w14:textId="5426A201" w:rsidR="001B651F" w:rsidRPr="0072606D" w:rsidRDefault="001B651F" w:rsidP="001B651F">
      <w:pPr>
        <w:spacing w:line="480" w:lineRule="auto"/>
        <w:jc w:val="both"/>
        <w:rPr>
          <w:rFonts w:cstheme="minorHAnsi"/>
          <w:lang w:val="en-US"/>
        </w:rPr>
      </w:pPr>
      <w:r w:rsidRPr="0072606D">
        <w:rPr>
          <w:rFonts w:cstheme="minorHAnsi"/>
          <w:b/>
          <w:lang w:val="en-GB"/>
        </w:rPr>
        <w:lastRenderedPageBreak/>
        <w:t xml:space="preserve">Supplemental </w:t>
      </w:r>
      <w:r w:rsidRPr="0072606D">
        <w:rPr>
          <w:rFonts w:cstheme="minorHAnsi"/>
          <w:b/>
          <w:lang w:val="en-GB"/>
        </w:rPr>
        <w:t xml:space="preserve">Table 1. </w:t>
      </w:r>
      <w:r w:rsidRPr="0072606D">
        <w:rPr>
          <w:rFonts w:cstheme="minorHAnsi"/>
          <w:lang w:val="en-GB"/>
        </w:rPr>
        <w:t>Patient characteristics</w:t>
      </w:r>
    </w:p>
    <w:tbl>
      <w:tblPr>
        <w:tblW w:w="7860" w:type="dxa"/>
        <w:tblCellMar>
          <w:left w:w="70" w:type="dxa"/>
          <w:right w:w="70" w:type="dxa"/>
        </w:tblCellMar>
        <w:tblLook w:val="04A0" w:firstRow="1" w:lastRow="0" w:firstColumn="1" w:lastColumn="0" w:noHBand="0" w:noVBand="1"/>
      </w:tblPr>
      <w:tblGrid>
        <w:gridCol w:w="2977"/>
        <w:gridCol w:w="2603"/>
        <w:gridCol w:w="2280"/>
      </w:tblGrid>
      <w:tr w:rsidR="001B651F" w:rsidRPr="0072606D" w14:paraId="3AB43940" w14:textId="77777777" w:rsidTr="00D33128">
        <w:trPr>
          <w:trHeight w:val="280"/>
        </w:trPr>
        <w:tc>
          <w:tcPr>
            <w:tcW w:w="2977" w:type="dxa"/>
            <w:tcBorders>
              <w:top w:val="single" w:sz="4" w:space="0" w:color="auto"/>
              <w:left w:val="nil"/>
              <w:bottom w:val="single" w:sz="4" w:space="0" w:color="auto"/>
              <w:right w:val="nil"/>
            </w:tcBorders>
            <w:shd w:val="clear" w:color="auto" w:fill="auto"/>
            <w:noWrap/>
            <w:vAlign w:val="bottom"/>
            <w:hideMark/>
          </w:tcPr>
          <w:p w14:paraId="49BE10DB" w14:textId="77777777" w:rsidR="001B651F" w:rsidRPr="0072606D" w:rsidRDefault="001B651F" w:rsidP="00D33128">
            <w:pPr>
              <w:rPr>
                <w:rFonts w:cstheme="minorHAnsi"/>
                <w:b/>
                <w:bCs/>
                <w:color w:val="000000"/>
                <w:sz w:val="20"/>
                <w:szCs w:val="20"/>
              </w:rPr>
            </w:pPr>
            <w:r w:rsidRPr="0072606D">
              <w:rPr>
                <w:rFonts w:cstheme="minorHAnsi"/>
                <w:b/>
                <w:bCs/>
                <w:color w:val="000000"/>
                <w:sz w:val="20"/>
                <w:szCs w:val="20"/>
              </w:rPr>
              <w:t>Population description</w:t>
            </w:r>
          </w:p>
        </w:tc>
        <w:tc>
          <w:tcPr>
            <w:tcW w:w="2603" w:type="dxa"/>
            <w:tcBorders>
              <w:top w:val="single" w:sz="4" w:space="0" w:color="auto"/>
              <w:left w:val="nil"/>
              <w:bottom w:val="single" w:sz="4" w:space="0" w:color="auto"/>
              <w:right w:val="nil"/>
            </w:tcBorders>
            <w:shd w:val="clear" w:color="auto" w:fill="auto"/>
            <w:noWrap/>
            <w:vAlign w:val="bottom"/>
            <w:hideMark/>
          </w:tcPr>
          <w:p w14:paraId="1B998C55" w14:textId="77777777" w:rsidR="001B651F" w:rsidRPr="0072606D" w:rsidRDefault="001B651F" w:rsidP="00D33128">
            <w:pPr>
              <w:rPr>
                <w:rFonts w:cstheme="minorHAnsi"/>
                <w:b/>
                <w:bCs/>
                <w:color w:val="000000"/>
                <w:sz w:val="20"/>
                <w:szCs w:val="20"/>
              </w:rPr>
            </w:pPr>
            <w:r w:rsidRPr="0072606D">
              <w:rPr>
                <w:rFonts w:cstheme="minorHAnsi"/>
                <w:b/>
                <w:bCs/>
                <w:color w:val="000000"/>
                <w:sz w:val="20"/>
                <w:szCs w:val="20"/>
              </w:rPr>
              <w:t> </w:t>
            </w:r>
          </w:p>
        </w:tc>
        <w:tc>
          <w:tcPr>
            <w:tcW w:w="2280" w:type="dxa"/>
            <w:tcBorders>
              <w:top w:val="single" w:sz="4" w:space="0" w:color="auto"/>
              <w:left w:val="nil"/>
              <w:bottom w:val="single" w:sz="4" w:space="0" w:color="auto"/>
              <w:right w:val="nil"/>
            </w:tcBorders>
            <w:shd w:val="clear" w:color="auto" w:fill="auto"/>
            <w:noWrap/>
            <w:vAlign w:val="bottom"/>
            <w:hideMark/>
          </w:tcPr>
          <w:p w14:paraId="6CA96C7F"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 </w:t>
            </w:r>
          </w:p>
        </w:tc>
      </w:tr>
      <w:tr w:rsidR="001B651F" w:rsidRPr="0072606D" w14:paraId="21AEE865" w14:textId="77777777" w:rsidTr="00D33128">
        <w:trPr>
          <w:trHeight w:val="280"/>
        </w:trPr>
        <w:tc>
          <w:tcPr>
            <w:tcW w:w="2977" w:type="dxa"/>
            <w:tcBorders>
              <w:top w:val="nil"/>
              <w:left w:val="nil"/>
              <w:bottom w:val="nil"/>
              <w:right w:val="nil"/>
            </w:tcBorders>
            <w:shd w:val="clear" w:color="auto" w:fill="auto"/>
            <w:noWrap/>
            <w:vAlign w:val="bottom"/>
            <w:hideMark/>
          </w:tcPr>
          <w:p w14:paraId="2F05227E" w14:textId="77777777" w:rsidR="001B651F" w:rsidRPr="0072606D" w:rsidRDefault="001B651F" w:rsidP="00D33128">
            <w:pPr>
              <w:rPr>
                <w:rFonts w:cstheme="minorHAnsi"/>
                <w:color w:val="000000"/>
                <w:sz w:val="20"/>
                <w:szCs w:val="20"/>
                <w:lang w:val="en-US"/>
              </w:rPr>
            </w:pPr>
            <w:r w:rsidRPr="0072606D">
              <w:rPr>
                <w:rFonts w:cstheme="minorHAnsi"/>
                <w:color w:val="000000"/>
                <w:sz w:val="20"/>
                <w:szCs w:val="20"/>
                <w:lang w:val="en-US"/>
              </w:rPr>
              <w:t>Follow-up (reverse Kaplan Meier)</w:t>
            </w:r>
          </w:p>
        </w:tc>
        <w:tc>
          <w:tcPr>
            <w:tcW w:w="2603" w:type="dxa"/>
            <w:tcBorders>
              <w:top w:val="nil"/>
              <w:left w:val="nil"/>
              <w:bottom w:val="nil"/>
              <w:right w:val="nil"/>
            </w:tcBorders>
            <w:shd w:val="clear" w:color="auto" w:fill="auto"/>
            <w:noWrap/>
            <w:vAlign w:val="bottom"/>
            <w:hideMark/>
          </w:tcPr>
          <w:p w14:paraId="7309183B"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median</w:t>
            </w:r>
            <w:proofErr w:type="spellEnd"/>
            <w:r w:rsidRPr="0072606D">
              <w:rPr>
                <w:rFonts w:cstheme="minorHAnsi"/>
                <w:color w:val="000000"/>
                <w:sz w:val="20"/>
                <w:szCs w:val="20"/>
              </w:rPr>
              <w:t xml:space="preserve"> (95% CI) mo</w:t>
            </w:r>
          </w:p>
        </w:tc>
        <w:tc>
          <w:tcPr>
            <w:tcW w:w="2280" w:type="dxa"/>
            <w:tcBorders>
              <w:top w:val="nil"/>
              <w:left w:val="nil"/>
              <w:bottom w:val="nil"/>
              <w:right w:val="nil"/>
            </w:tcBorders>
            <w:shd w:val="clear" w:color="auto" w:fill="auto"/>
            <w:noWrap/>
            <w:vAlign w:val="bottom"/>
            <w:hideMark/>
          </w:tcPr>
          <w:p w14:paraId="3EF3952E"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36.1 [32-44]</w:t>
            </w:r>
          </w:p>
        </w:tc>
      </w:tr>
      <w:tr w:rsidR="001B651F" w:rsidRPr="0072606D" w14:paraId="7A4DD159" w14:textId="77777777" w:rsidTr="00D33128">
        <w:trPr>
          <w:trHeight w:val="280"/>
        </w:trPr>
        <w:tc>
          <w:tcPr>
            <w:tcW w:w="2977" w:type="dxa"/>
            <w:tcBorders>
              <w:top w:val="nil"/>
              <w:left w:val="nil"/>
              <w:bottom w:val="nil"/>
              <w:right w:val="nil"/>
            </w:tcBorders>
            <w:shd w:val="clear" w:color="auto" w:fill="auto"/>
            <w:noWrap/>
            <w:vAlign w:val="bottom"/>
            <w:hideMark/>
          </w:tcPr>
          <w:p w14:paraId="4E1626A2"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Status</w:t>
            </w:r>
            <w:proofErr w:type="spellEnd"/>
            <w:r w:rsidRPr="0072606D">
              <w:rPr>
                <w:rFonts w:cstheme="minorHAnsi"/>
                <w:color w:val="000000"/>
                <w:sz w:val="20"/>
                <w:szCs w:val="20"/>
              </w:rPr>
              <w:t xml:space="preserve"> at transplant; # (%)</w:t>
            </w:r>
          </w:p>
        </w:tc>
        <w:tc>
          <w:tcPr>
            <w:tcW w:w="2603" w:type="dxa"/>
            <w:tcBorders>
              <w:top w:val="nil"/>
              <w:left w:val="nil"/>
              <w:bottom w:val="nil"/>
              <w:right w:val="nil"/>
            </w:tcBorders>
            <w:shd w:val="clear" w:color="auto" w:fill="auto"/>
            <w:noWrap/>
            <w:vAlign w:val="bottom"/>
            <w:hideMark/>
          </w:tcPr>
          <w:p w14:paraId="42D4FAAE"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Primary</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refractory</w:t>
            </w:r>
            <w:proofErr w:type="spellEnd"/>
          </w:p>
        </w:tc>
        <w:tc>
          <w:tcPr>
            <w:tcW w:w="2280" w:type="dxa"/>
            <w:tcBorders>
              <w:top w:val="nil"/>
              <w:left w:val="nil"/>
              <w:bottom w:val="nil"/>
              <w:right w:val="nil"/>
            </w:tcBorders>
            <w:shd w:val="clear" w:color="auto" w:fill="auto"/>
            <w:noWrap/>
            <w:vAlign w:val="bottom"/>
            <w:hideMark/>
          </w:tcPr>
          <w:p w14:paraId="7FA1B947"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366 (54.6%)</w:t>
            </w:r>
          </w:p>
        </w:tc>
      </w:tr>
      <w:tr w:rsidR="001B651F" w:rsidRPr="0072606D" w14:paraId="210DFA57" w14:textId="77777777" w:rsidTr="00D33128">
        <w:trPr>
          <w:trHeight w:val="280"/>
        </w:trPr>
        <w:tc>
          <w:tcPr>
            <w:tcW w:w="2977" w:type="dxa"/>
            <w:tcBorders>
              <w:top w:val="nil"/>
              <w:left w:val="nil"/>
              <w:bottom w:val="nil"/>
              <w:right w:val="nil"/>
            </w:tcBorders>
            <w:shd w:val="clear" w:color="auto" w:fill="auto"/>
            <w:noWrap/>
            <w:vAlign w:val="bottom"/>
            <w:hideMark/>
          </w:tcPr>
          <w:p w14:paraId="16654D94"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475DDF30" w14:textId="77777777" w:rsidR="001B651F" w:rsidRPr="0072606D" w:rsidRDefault="001B651F" w:rsidP="00D33128">
            <w:pPr>
              <w:rPr>
                <w:rFonts w:cstheme="minorHAnsi"/>
                <w:color w:val="000000"/>
                <w:sz w:val="20"/>
                <w:szCs w:val="20"/>
              </w:rPr>
            </w:pPr>
            <w:r w:rsidRPr="0072606D">
              <w:rPr>
                <w:rFonts w:cstheme="minorHAnsi"/>
                <w:color w:val="000000"/>
                <w:sz w:val="20"/>
                <w:szCs w:val="20"/>
              </w:rPr>
              <w:t>Rel1</w:t>
            </w:r>
          </w:p>
        </w:tc>
        <w:tc>
          <w:tcPr>
            <w:tcW w:w="2280" w:type="dxa"/>
            <w:tcBorders>
              <w:top w:val="nil"/>
              <w:left w:val="nil"/>
              <w:bottom w:val="nil"/>
              <w:right w:val="nil"/>
            </w:tcBorders>
            <w:shd w:val="clear" w:color="auto" w:fill="auto"/>
            <w:noWrap/>
            <w:vAlign w:val="bottom"/>
            <w:hideMark/>
          </w:tcPr>
          <w:p w14:paraId="774805A8"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238 (35.5%)</w:t>
            </w:r>
          </w:p>
        </w:tc>
      </w:tr>
      <w:tr w:rsidR="001B651F" w:rsidRPr="0072606D" w14:paraId="6E2B92B2" w14:textId="77777777" w:rsidTr="00D33128">
        <w:trPr>
          <w:trHeight w:val="280"/>
        </w:trPr>
        <w:tc>
          <w:tcPr>
            <w:tcW w:w="2977" w:type="dxa"/>
            <w:tcBorders>
              <w:top w:val="nil"/>
              <w:left w:val="nil"/>
              <w:bottom w:val="nil"/>
              <w:right w:val="nil"/>
            </w:tcBorders>
            <w:shd w:val="clear" w:color="auto" w:fill="auto"/>
            <w:noWrap/>
            <w:vAlign w:val="bottom"/>
            <w:hideMark/>
          </w:tcPr>
          <w:p w14:paraId="30499C45"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12FCD38B" w14:textId="77777777" w:rsidR="001B651F" w:rsidRPr="0072606D" w:rsidRDefault="001B651F" w:rsidP="00D33128">
            <w:pPr>
              <w:rPr>
                <w:rFonts w:cstheme="minorHAnsi"/>
                <w:color w:val="000000"/>
                <w:sz w:val="20"/>
                <w:szCs w:val="20"/>
              </w:rPr>
            </w:pPr>
            <w:r w:rsidRPr="0072606D">
              <w:rPr>
                <w:rFonts w:cstheme="minorHAnsi"/>
                <w:color w:val="000000"/>
                <w:sz w:val="20"/>
                <w:szCs w:val="20"/>
              </w:rPr>
              <w:t>Rel2+</w:t>
            </w:r>
          </w:p>
        </w:tc>
        <w:tc>
          <w:tcPr>
            <w:tcW w:w="2280" w:type="dxa"/>
            <w:tcBorders>
              <w:top w:val="nil"/>
              <w:left w:val="nil"/>
              <w:bottom w:val="nil"/>
              <w:right w:val="nil"/>
            </w:tcBorders>
            <w:shd w:val="clear" w:color="auto" w:fill="auto"/>
            <w:noWrap/>
            <w:vAlign w:val="bottom"/>
            <w:hideMark/>
          </w:tcPr>
          <w:p w14:paraId="084C321F"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66 (9.9%)</w:t>
            </w:r>
          </w:p>
        </w:tc>
      </w:tr>
      <w:tr w:rsidR="001B651F" w:rsidRPr="0072606D" w14:paraId="73ADB1A2" w14:textId="77777777" w:rsidTr="00D33128">
        <w:trPr>
          <w:trHeight w:val="280"/>
        </w:trPr>
        <w:tc>
          <w:tcPr>
            <w:tcW w:w="2977" w:type="dxa"/>
            <w:tcBorders>
              <w:top w:val="nil"/>
              <w:left w:val="nil"/>
              <w:bottom w:val="nil"/>
              <w:right w:val="nil"/>
            </w:tcBorders>
            <w:shd w:val="clear" w:color="auto" w:fill="auto"/>
            <w:noWrap/>
            <w:vAlign w:val="bottom"/>
            <w:hideMark/>
          </w:tcPr>
          <w:p w14:paraId="18A7A2CA"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Cytogenetics</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721CD70D" w14:textId="77777777" w:rsidR="001B651F" w:rsidRPr="0072606D" w:rsidRDefault="001B651F" w:rsidP="00D33128">
            <w:pPr>
              <w:rPr>
                <w:rFonts w:cstheme="minorHAnsi"/>
                <w:color w:val="000000"/>
                <w:sz w:val="20"/>
                <w:szCs w:val="20"/>
              </w:rPr>
            </w:pPr>
            <w:r w:rsidRPr="0072606D">
              <w:rPr>
                <w:rFonts w:cstheme="minorHAnsi"/>
                <w:color w:val="000000"/>
                <w:sz w:val="20"/>
                <w:szCs w:val="20"/>
              </w:rPr>
              <w:t>Favorable</w:t>
            </w:r>
          </w:p>
        </w:tc>
        <w:tc>
          <w:tcPr>
            <w:tcW w:w="2280" w:type="dxa"/>
            <w:tcBorders>
              <w:top w:val="nil"/>
              <w:left w:val="nil"/>
              <w:bottom w:val="nil"/>
              <w:right w:val="nil"/>
            </w:tcBorders>
            <w:shd w:val="clear" w:color="auto" w:fill="auto"/>
            <w:noWrap/>
            <w:vAlign w:val="bottom"/>
            <w:hideMark/>
          </w:tcPr>
          <w:p w14:paraId="57730C5A"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27 (4%)</w:t>
            </w:r>
          </w:p>
        </w:tc>
      </w:tr>
      <w:tr w:rsidR="001B651F" w:rsidRPr="0072606D" w14:paraId="6E9AEAE5" w14:textId="77777777" w:rsidTr="00D33128">
        <w:trPr>
          <w:trHeight w:val="280"/>
        </w:trPr>
        <w:tc>
          <w:tcPr>
            <w:tcW w:w="2977" w:type="dxa"/>
            <w:tcBorders>
              <w:top w:val="nil"/>
              <w:left w:val="nil"/>
              <w:bottom w:val="nil"/>
              <w:right w:val="nil"/>
            </w:tcBorders>
            <w:shd w:val="clear" w:color="auto" w:fill="auto"/>
            <w:noWrap/>
            <w:vAlign w:val="bottom"/>
            <w:hideMark/>
          </w:tcPr>
          <w:p w14:paraId="698484FE"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1BEEE8E8"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Intermediate</w:t>
            </w:r>
            <w:proofErr w:type="spellEnd"/>
          </w:p>
        </w:tc>
        <w:tc>
          <w:tcPr>
            <w:tcW w:w="2280" w:type="dxa"/>
            <w:tcBorders>
              <w:top w:val="nil"/>
              <w:left w:val="nil"/>
              <w:bottom w:val="nil"/>
              <w:right w:val="nil"/>
            </w:tcBorders>
            <w:shd w:val="clear" w:color="auto" w:fill="auto"/>
            <w:noWrap/>
            <w:vAlign w:val="bottom"/>
            <w:hideMark/>
          </w:tcPr>
          <w:p w14:paraId="3769BD96"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336 (50.1%)</w:t>
            </w:r>
          </w:p>
        </w:tc>
      </w:tr>
      <w:tr w:rsidR="001B651F" w:rsidRPr="0072606D" w14:paraId="375B5F52" w14:textId="77777777" w:rsidTr="00D33128">
        <w:trPr>
          <w:trHeight w:val="280"/>
        </w:trPr>
        <w:tc>
          <w:tcPr>
            <w:tcW w:w="2977" w:type="dxa"/>
            <w:tcBorders>
              <w:top w:val="nil"/>
              <w:left w:val="nil"/>
              <w:bottom w:val="nil"/>
              <w:right w:val="nil"/>
            </w:tcBorders>
            <w:shd w:val="clear" w:color="auto" w:fill="auto"/>
            <w:noWrap/>
            <w:vAlign w:val="bottom"/>
            <w:hideMark/>
          </w:tcPr>
          <w:p w14:paraId="4832575D"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4E4E7482" w14:textId="77777777" w:rsidR="001B651F" w:rsidRPr="0072606D" w:rsidRDefault="001B651F" w:rsidP="00D33128">
            <w:pPr>
              <w:rPr>
                <w:rFonts w:cstheme="minorHAnsi"/>
                <w:color w:val="000000"/>
                <w:sz w:val="20"/>
                <w:szCs w:val="20"/>
              </w:rPr>
            </w:pPr>
            <w:r w:rsidRPr="0072606D">
              <w:rPr>
                <w:rFonts w:cstheme="minorHAnsi"/>
                <w:color w:val="000000"/>
                <w:sz w:val="20"/>
                <w:szCs w:val="20"/>
              </w:rPr>
              <w:t>Adverse</w:t>
            </w:r>
          </w:p>
        </w:tc>
        <w:tc>
          <w:tcPr>
            <w:tcW w:w="2280" w:type="dxa"/>
            <w:tcBorders>
              <w:top w:val="nil"/>
              <w:left w:val="nil"/>
              <w:bottom w:val="nil"/>
              <w:right w:val="nil"/>
            </w:tcBorders>
            <w:shd w:val="clear" w:color="auto" w:fill="auto"/>
            <w:noWrap/>
            <w:vAlign w:val="bottom"/>
            <w:hideMark/>
          </w:tcPr>
          <w:p w14:paraId="32D88462"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176 (26.3%)</w:t>
            </w:r>
          </w:p>
        </w:tc>
      </w:tr>
      <w:tr w:rsidR="001B651F" w:rsidRPr="0072606D" w14:paraId="378BFCC4" w14:textId="77777777" w:rsidTr="00D33128">
        <w:trPr>
          <w:trHeight w:val="280"/>
        </w:trPr>
        <w:tc>
          <w:tcPr>
            <w:tcW w:w="2977" w:type="dxa"/>
            <w:tcBorders>
              <w:top w:val="nil"/>
              <w:left w:val="nil"/>
              <w:bottom w:val="nil"/>
              <w:right w:val="nil"/>
            </w:tcBorders>
            <w:shd w:val="clear" w:color="auto" w:fill="auto"/>
            <w:noWrap/>
            <w:vAlign w:val="bottom"/>
            <w:hideMark/>
          </w:tcPr>
          <w:p w14:paraId="47649DB6"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7A032F8C" w14:textId="77777777" w:rsidR="001B651F" w:rsidRPr="0072606D" w:rsidRDefault="001B651F" w:rsidP="00D33128">
            <w:pPr>
              <w:rPr>
                <w:rFonts w:cstheme="minorHAnsi"/>
                <w:color w:val="000000"/>
                <w:sz w:val="20"/>
                <w:szCs w:val="20"/>
              </w:rPr>
            </w:pPr>
            <w:r w:rsidRPr="0072606D">
              <w:rPr>
                <w:rFonts w:cstheme="minorHAnsi"/>
                <w:color w:val="000000"/>
                <w:sz w:val="20"/>
                <w:szCs w:val="20"/>
              </w:rPr>
              <w:t>NA/</w:t>
            </w:r>
            <w:proofErr w:type="spellStart"/>
            <w:r w:rsidRPr="0072606D">
              <w:rPr>
                <w:rFonts w:cstheme="minorHAnsi"/>
                <w:color w:val="000000"/>
                <w:sz w:val="20"/>
                <w:szCs w:val="20"/>
              </w:rPr>
              <w:t>failed</w:t>
            </w:r>
            <w:proofErr w:type="spellEnd"/>
          </w:p>
        </w:tc>
        <w:tc>
          <w:tcPr>
            <w:tcW w:w="2280" w:type="dxa"/>
            <w:tcBorders>
              <w:top w:val="nil"/>
              <w:left w:val="nil"/>
              <w:bottom w:val="nil"/>
              <w:right w:val="nil"/>
            </w:tcBorders>
            <w:shd w:val="clear" w:color="auto" w:fill="auto"/>
            <w:noWrap/>
            <w:vAlign w:val="bottom"/>
            <w:hideMark/>
          </w:tcPr>
          <w:p w14:paraId="6744054B"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131 (19.6%)</w:t>
            </w:r>
          </w:p>
        </w:tc>
      </w:tr>
      <w:tr w:rsidR="001B651F" w:rsidRPr="0072606D" w14:paraId="0715D481" w14:textId="77777777" w:rsidTr="00D33128">
        <w:trPr>
          <w:trHeight w:val="280"/>
        </w:trPr>
        <w:tc>
          <w:tcPr>
            <w:tcW w:w="2977" w:type="dxa"/>
            <w:tcBorders>
              <w:top w:val="nil"/>
              <w:left w:val="nil"/>
              <w:bottom w:val="nil"/>
              <w:right w:val="nil"/>
            </w:tcBorders>
            <w:shd w:val="clear" w:color="auto" w:fill="auto"/>
            <w:noWrap/>
            <w:vAlign w:val="bottom"/>
            <w:hideMark/>
          </w:tcPr>
          <w:p w14:paraId="106CC1F9" w14:textId="77777777" w:rsidR="001B651F" w:rsidRPr="0072606D" w:rsidRDefault="001B651F" w:rsidP="00D33128">
            <w:pPr>
              <w:rPr>
                <w:rFonts w:cstheme="minorHAnsi"/>
                <w:color w:val="000000"/>
                <w:sz w:val="20"/>
                <w:szCs w:val="20"/>
              </w:rPr>
            </w:pPr>
            <w:r w:rsidRPr="0072606D">
              <w:rPr>
                <w:rFonts w:cstheme="minorHAnsi"/>
                <w:color w:val="000000"/>
                <w:sz w:val="20"/>
                <w:szCs w:val="20"/>
              </w:rPr>
              <w:t xml:space="preserve">Patient </w:t>
            </w:r>
            <w:proofErr w:type="spellStart"/>
            <w:r w:rsidRPr="0072606D">
              <w:rPr>
                <w:rFonts w:cstheme="minorHAnsi"/>
                <w:color w:val="000000"/>
                <w:sz w:val="20"/>
                <w:szCs w:val="20"/>
              </w:rPr>
              <w:t>age</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years</w:t>
            </w:r>
            <w:proofErr w:type="spellEnd"/>
            <w:r w:rsidRPr="0072606D">
              <w:rPr>
                <w:rFonts w:cstheme="minorHAnsi"/>
                <w:color w:val="000000"/>
                <w:sz w:val="20"/>
                <w:szCs w:val="20"/>
              </w:rPr>
              <w:t>)</w:t>
            </w:r>
          </w:p>
        </w:tc>
        <w:tc>
          <w:tcPr>
            <w:tcW w:w="2603" w:type="dxa"/>
            <w:tcBorders>
              <w:top w:val="nil"/>
              <w:left w:val="nil"/>
              <w:bottom w:val="nil"/>
              <w:right w:val="nil"/>
            </w:tcBorders>
            <w:shd w:val="clear" w:color="auto" w:fill="auto"/>
            <w:noWrap/>
            <w:vAlign w:val="bottom"/>
            <w:hideMark/>
          </w:tcPr>
          <w:p w14:paraId="375A2DF9"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median</w:t>
            </w:r>
            <w:proofErr w:type="spellEnd"/>
            <w:r w:rsidRPr="0072606D">
              <w:rPr>
                <w:rFonts w:cstheme="minorHAnsi"/>
                <w:color w:val="000000"/>
                <w:sz w:val="20"/>
                <w:szCs w:val="20"/>
              </w:rPr>
              <w:t xml:space="preserve"> (min-max) [IQR]</w:t>
            </w:r>
          </w:p>
        </w:tc>
        <w:tc>
          <w:tcPr>
            <w:tcW w:w="2280" w:type="dxa"/>
            <w:tcBorders>
              <w:top w:val="nil"/>
              <w:left w:val="nil"/>
              <w:bottom w:val="nil"/>
              <w:right w:val="nil"/>
            </w:tcBorders>
            <w:shd w:val="clear" w:color="auto" w:fill="auto"/>
            <w:noWrap/>
            <w:vAlign w:val="bottom"/>
            <w:hideMark/>
          </w:tcPr>
          <w:p w14:paraId="19A26BFF"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55.5 (18-78.8) [43-63]</w:t>
            </w:r>
          </w:p>
        </w:tc>
      </w:tr>
      <w:tr w:rsidR="001B651F" w:rsidRPr="0072606D" w14:paraId="06AAEA56" w14:textId="77777777" w:rsidTr="00D33128">
        <w:trPr>
          <w:trHeight w:val="280"/>
        </w:trPr>
        <w:tc>
          <w:tcPr>
            <w:tcW w:w="2977" w:type="dxa"/>
            <w:tcBorders>
              <w:top w:val="nil"/>
              <w:left w:val="nil"/>
              <w:bottom w:val="nil"/>
              <w:right w:val="nil"/>
            </w:tcBorders>
            <w:shd w:val="clear" w:color="auto" w:fill="auto"/>
            <w:noWrap/>
            <w:vAlign w:val="bottom"/>
            <w:hideMark/>
          </w:tcPr>
          <w:p w14:paraId="6B861B8C"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Year</w:t>
            </w:r>
            <w:proofErr w:type="spellEnd"/>
            <w:r w:rsidRPr="0072606D">
              <w:rPr>
                <w:rFonts w:cstheme="minorHAnsi"/>
                <w:color w:val="000000"/>
                <w:sz w:val="20"/>
                <w:szCs w:val="20"/>
              </w:rPr>
              <w:t xml:space="preserve"> transplant</w:t>
            </w:r>
          </w:p>
        </w:tc>
        <w:tc>
          <w:tcPr>
            <w:tcW w:w="2603" w:type="dxa"/>
            <w:tcBorders>
              <w:top w:val="nil"/>
              <w:left w:val="nil"/>
              <w:bottom w:val="nil"/>
              <w:right w:val="nil"/>
            </w:tcBorders>
            <w:shd w:val="clear" w:color="auto" w:fill="auto"/>
            <w:noWrap/>
            <w:vAlign w:val="bottom"/>
            <w:hideMark/>
          </w:tcPr>
          <w:p w14:paraId="12DBBD07"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median</w:t>
            </w:r>
            <w:proofErr w:type="spellEnd"/>
            <w:r w:rsidRPr="0072606D">
              <w:rPr>
                <w:rFonts w:cstheme="minorHAnsi"/>
                <w:color w:val="000000"/>
                <w:sz w:val="20"/>
                <w:szCs w:val="20"/>
              </w:rPr>
              <w:t xml:space="preserve"> (min-max) </w:t>
            </w:r>
          </w:p>
        </w:tc>
        <w:tc>
          <w:tcPr>
            <w:tcW w:w="2280" w:type="dxa"/>
            <w:tcBorders>
              <w:top w:val="nil"/>
              <w:left w:val="nil"/>
              <w:bottom w:val="nil"/>
              <w:right w:val="nil"/>
            </w:tcBorders>
            <w:shd w:val="clear" w:color="auto" w:fill="auto"/>
            <w:noWrap/>
            <w:vAlign w:val="bottom"/>
            <w:hideMark/>
          </w:tcPr>
          <w:p w14:paraId="12EF7011"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 xml:space="preserve">2017 (2010-2020) </w:t>
            </w:r>
          </w:p>
        </w:tc>
      </w:tr>
      <w:tr w:rsidR="001B651F" w:rsidRPr="0072606D" w14:paraId="72126BD6" w14:textId="77777777" w:rsidTr="00D33128">
        <w:trPr>
          <w:trHeight w:val="280"/>
        </w:trPr>
        <w:tc>
          <w:tcPr>
            <w:tcW w:w="2977" w:type="dxa"/>
            <w:tcBorders>
              <w:top w:val="nil"/>
              <w:left w:val="nil"/>
              <w:bottom w:val="nil"/>
              <w:right w:val="nil"/>
            </w:tcBorders>
            <w:shd w:val="clear" w:color="auto" w:fill="auto"/>
            <w:noWrap/>
            <w:vAlign w:val="bottom"/>
            <w:hideMark/>
          </w:tcPr>
          <w:p w14:paraId="65EC9485"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Diagnosis</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400AA3C2" w14:textId="77777777" w:rsidR="001B651F" w:rsidRPr="0072606D" w:rsidRDefault="001B651F" w:rsidP="00D33128">
            <w:pPr>
              <w:rPr>
                <w:rFonts w:cstheme="minorHAnsi"/>
                <w:color w:val="000000"/>
                <w:sz w:val="20"/>
                <w:szCs w:val="20"/>
              </w:rPr>
            </w:pPr>
            <w:r w:rsidRPr="0072606D">
              <w:rPr>
                <w:rFonts w:cstheme="minorHAnsi"/>
                <w:color w:val="000000"/>
                <w:sz w:val="20"/>
                <w:szCs w:val="20"/>
              </w:rPr>
              <w:t>de novo AML</w:t>
            </w:r>
          </w:p>
        </w:tc>
        <w:tc>
          <w:tcPr>
            <w:tcW w:w="2280" w:type="dxa"/>
            <w:tcBorders>
              <w:top w:val="nil"/>
              <w:left w:val="nil"/>
              <w:bottom w:val="nil"/>
              <w:right w:val="nil"/>
            </w:tcBorders>
            <w:shd w:val="clear" w:color="auto" w:fill="auto"/>
            <w:noWrap/>
            <w:vAlign w:val="bottom"/>
            <w:hideMark/>
          </w:tcPr>
          <w:p w14:paraId="73392376"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543 (81%)</w:t>
            </w:r>
          </w:p>
        </w:tc>
      </w:tr>
      <w:tr w:rsidR="001B651F" w:rsidRPr="0072606D" w14:paraId="105212B3" w14:textId="77777777" w:rsidTr="00D33128">
        <w:trPr>
          <w:trHeight w:val="280"/>
        </w:trPr>
        <w:tc>
          <w:tcPr>
            <w:tcW w:w="2977" w:type="dxa"/>
            <w:tcBorders>
              <w:top w:val="nil"/>
              <w:left w:val="nil"/>
              <w:bottom w:val="nil"/>
              <w:right w:val="nil"/>
            </w:tcBorders>
            <w:shd w:val="clear" w:color="auto" w:fill="auto"/>
            <w:noWrap/>
            <w:vAlign w:val="bottom"/>
            <w:hideMark/>
          </w:tcPr>
          <w:p w14:paraId="47BFE841"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283DD4AA"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secondary</w:t>
            </w:r>
            <w:proofErr w:type="spellEnd"/>
            <w:r w:rsidRPr="0072606D">
              <w:rPr>
                <w:rFonts w:cstheme="minorHAnsi"/>
                <w:color w:val="000000"/>
                <w:sz w:val="20"/>
                <w:szCs w:val="20"/>
              </w:rPr>
              <w:t xml:space="preserve"> AML</w:t>
            </w:r>
          </w:p>
        </w:tc>
        <w:tc>
          <w:tcPr>
            <w:tcW w:w="2280" w:type="dxa"/>
            <w:tcBorders>
              <w:top w:val="nil"/>
              <w:left w:val="nil"/>
              <w:bottom w:val="nil"/>
              <w:right w:val="nil"/>
            </w:tcBorders>
            <w:shd w:val="clear" w:color="auto" w:fill="auto"/>
            <w:noWrap/>
            <w:vAlign w:val="bottom"/>
            <w:hideMark/>
          </w:tcPr>
          <w:p w14:paraId="6714496F"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127 (19%)</w:t>
            </w:r>
          </w:p>
        </w:tc>
      </w:tr>
      <w:tr w:rsidR="001B651F" w:rsidRPr="0072606D" w14:paraId="2B040455" w14:textId="77777777" w:rsidTr="00D33128">
        <w:trPr>
          <w:trHeight w:val="280"/>
        </w:trPr>
        <w:tc>
          <w:tcPr>
            <w:tcW w:w="2977" w:type="dxa"/>
            <w:tcBorders>
              <w:top w:val="nil"/>
              <w:left w:val="nil"/>
              <w:bottom w:val="nil"/>
              <w:right w:val="nil"/>
            </w:tcBorders>
            <w:shd w:val="clear" w:color="auto" w:fill="auto"/>
            <w:noWrap/>
            <w:vAlign w:val="bottom"/>
            <w:hideMark/>
          </w:tcPr>
          <w:p w14:paraId="37A41BAB"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Cell</w:t>
            </w:r>
            <w:proofErr w:type="spellEnd"/>
            <w:r w:rsidRPr="0072606D">
              <w:rPr>
                <w:rFonts w:cstheme="minorHAnsi"/>
                <w:color w:val="000000"/>
                <w:sz w:val="20"/>
                <w:szCs w:val="20"/>
              </w:rPr>
              <w:t xml:space="preserve"> source; # (%)</w:t>
            </w:r>
          </w:p>
        </w:tc>
        <w:tc>
          <w:tcPr>
            <w:tcW w:w="2603" w:type="dxa"/>
            <w:tcBorders>
              <w:top w:val="nil"/>
              <w:left w:val="nil"/>
              <w:bottom w:val="nil"/>
              <w:right w:val="nil"/>
            </w:tcBorders>
            <w:shd w:val="clear" w:color="auto" w:fill="auto"/>
            <w:noWrap/>
            <w:vAlign w:val="bottom"/>
            <w:hideMark/>
          </w:tcPr>
          <w:p w14:paraId="2DC64344" w14:textId="77777777" w:rsidR="001B651F" w:rsidRPr="0072606D" w:rsidRDefault="001B651F" w:rsidP="00D33128">
            <w:pPr>
              <w:rPr>
                <w:rFonts w:cstheme="minorHAnsi"/>
                <w:color w:val="000000"/>
                <w:sz w:val="20"/>
                <w:szCs w:val="20"/>
              </w:rPr>
            </w:pPr>
            <w:r w:rsidRPr="0072606D">
              <w:rPr>
                <w:rFonts w:cstheme="minorHAnsi"/>
                <w:color w:val="000000"/>
                <w:sz w:val="20"/>
                <w:szCs w:val="20"/>
              </w:rPr>
              <w:t>BM</w:t>
            </w:r>
          </w:p>
        </w:tc>
        <w:tc>
          <w:tcPr>
            <w:tcW w:w="2280" w:type="dxa"/>
            <w:tcBorders>
              <w:top w:val="nil"/>
              <w:left w:val="nil"/>
              <w:bottom w:val="nil"/>
              <w:right w:val="nil"/>
            </w:tcBorders>
            <w:shd w:val="clear" w:color="auto" w:fill="auto"/>
            <w:noWrap/>
            <w:vAlign w:val="bottom"/>
            <w:hideMark/>
          </w:tcPr>
          <w:p w14:paraId="2A0F60DF"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216 (32.2%)</w:t>
            </w:r>
          </w:p>
        </w:tc>
      </w:tr>
      <w:tr w:rsidR="001B651F" w:rsidRPr="0072606D" w14:paraId="251CFCAF" w14:textId="77777777" w:rsidTr="00D33128">
        <w:trPr>
          <w:trHeight w:val="280"/>
        </w:trPr>
        <w:tc>
          <w:tcPr>
            <w:tcW w:w="2977" w:type="dxa"/>
            <w:tcBorders>
              <w:top w:val="nil"/>
              <w:left w:val="nil"/>
              <w:bottom w:val="nil"/>
              <w:right w:val="nil"/>
            </w:tcBorders>
            <w:shd w:val="clear" w:color="auto" w:fill="auto"/>
            <w:noWrap/>
            <w:vAlign w:val="bottom"/>
            <w:hideMark/>
          </w:tcPr>
          <w:p w14:paraId="542708FE"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7890E97D" w14:textId="77777777" w:rsidR="001B651F" w:rsidRPr="0072606D" w:rsidRDefault="001B651F" w:rsidP="00D33128">
            <w:pPr>
              <w:rPr>
                <w:rFonts w:cstheme="minorHAnsi"/>
                <w:color w:val="000000"/>
                <w:sz w:val="20"/>
                <w:szCs w:val="20"/>
              </w:rPr>
            </w:pPr>
            <w:r w:rsidRPr="0072606D">
              <w:rPr>
                <w:rFonts w:cstheme="minorHAnsi"/>
                <w:color w:val="000000"/>
                <w:sz w:val="20"/>
                <w:szCs w:val="20"/>
              </w:rPr>
              <w:t>PB</w:t>
            </w:r>
          </w:p>
        </w:tc>
        <w:tc>
          <w:tcPr>
            <w:tcW w:w="2280" w:type="dxa"/>
            <w:tcBorders>
              <w:top w:val="nil"/>
              <w:left w:val="nil"/>
              <w:bottom w:val="nil"/>
              <w:right w:val="nil"/>
            </w:tcBorders>
            <w:shd w:val="clear" w:color="auto" w:fill="auto"/>
            <w:noWrap/>
            <w:vAlign w:val="bottom"/>
            <w:hideMark/>
          </w:tcPr>
          <w:p w14:paraId="6A5A4BDB"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454 (67.8%)</w:t>
            </w:r>
          </w:p>
        </w:tc>
      </w:tr>
      <w:tr w:rsidR="001B651F" w:rsidRPr="0072606D" w14:paraId="704BFC01" w14:textId="77777777" w:rsidTr="00D33128">
        <w:trPr>
          <w:trHeight w:val="280"/>
        </w:trPr>
        <w:tc>
          <w:tcPr>
            <w:tcW w:w="2977" w:type="dxa"/>
            <w:tcBorders>
              <w:top w:val="nil"/>
              <w:left w:val="nil"/>
              <w:bottom w:val="nil"/>
              <w:right w:val="nil"/>
            </w:tcBorders>
            <w:shd w:val="clear" w:color="auto" w:fill="auto"/>
            <w:noWrap/>
            <w:vAlign w:val="bottom"/>
            <w:hideMark/>
          </w:tcPr>
          <w:p w14:paraId="64167D2B"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Karnofsky</w:t>
            </w:r>
            <w:proofErr w:type="spellEnd"/>
            <w:r w:rsidRPr="0072606D">
              <w:rPr>
                <w:rFonts w:cstheme="minorHAnsi"/>
                <w:color w:val="000000"/>
                <w:sz w:val="20"/>
                <w:szCs w:val="20"/>
              </w:rPr>
              <w:t xml:space="preserve"> score; # (%)</w:t>
            </w:r>
          </w:p>
        </w:tc>
        <w:tc>
          <w:tcPr>
            <w:tcW w:w="2603" w:type="dxa"/>
            <w:tcBorders>
              <w:top w:val="nil"/>
              <w:left w:val="nil"/>
              <w:bottom w:val="nil"/>
              <w:right w:val="nil"/>
            </w:tcBorders>
            <w:shd w:val="clear" w:color="auto" w:fill="auto"/>
            <w:noWrap/>
            <w:vAlign w:val="bottom"/>
            <w:hideMark/>
          </w:tcPr>
          <w:p w14:paraId="4DCCD248" w14:textId="77777777" w:rsidR="001B651F" w:rsidRPr="0072606D" w:rsidRDefault="001B651F" w:rsidP="00D33128">
            <w:pPr>
              <w:rPr>
                <w:rFonts w:cstheme="minorHAnsi"/>
                <w:color w:val="000000"/>
                <w:sz w:val="20"/>
                <w:szCs w:val="20"/>
              </w:rPr>
            </w:pPr>
            <w:r w:rsidRPr="0072606D">
              <w:rPr>
                <w:rFonts w:cstheme="minorHAnsi"/>
                <w:color w:val="000000"/>
                <w:sz w:val="20"/>
                <w:szCs w:val="20"/>
              </w:rPr>
              <w:t>&lt;90</w:t>
            </w:r>
          </w:p>
        </w:tc>
        <w:tc>
          <w:tcPr>
            <w:tcW w:w="2280" w:type="dxa"/>
            <w:tcBorders>
              <w:top w:val="nil"/>
              <w:left w:val="nil"/>
              <w:bottom w:val="nil"/>
              <w:right w:val="nil"/>
            </w:tcBorders>
            <w:shd w:val="clear" w:color="auto" w:fill="auto"/>
            <w:noWrap/>
            <w:vAlign w:val="bottom"/>
            <w:hideMark/>
          </w:tcPr>
          <w:p w14:paraId="45ABF111"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281 (44%)</w:t>
            </w:r>
          </w:p>
        </w:tc>
      </w:tr>
      <w:tr w:rsidR="001B651F" w:rsidRPr="0072606D" w14:paraId="178E1907" w14:textId="77777777" w:rsidTr="00D33128">
        <w:trPr>
          <w:trHeight w:val="280"/>
        </w:trPr>
        <w:tc>
          <w:tcPr>
            <w:tcW w:w="2977" w:type="dxa"/>
            <w:tcBorders>
              <w:top w:val="nil"/>
              <w:left w:val="nil"/>
              <w:bottom w:val="nil"/>
              <w:right w:val="nil"/>
            </w:tcBorders>
            <w:shd w:val="clear" w:color="auto" w:fill="auto"/>
            <w:noWrap/>
            <w:vAlign w:val="bottom"/>
            <w:hideMark/>
          </w:tcPr>
          <w:p w14:paraId="2E0FA29B"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28DDF20C" w14:textId="77777777" w:rsidR="001B651F" w:rsidRPr="0072606D" w:rsidRDefault="001B651F" w:rsidP="00D33128">
            <w:pPr>
              <w:rPr>
                <w:rFonts w:cstheme="minorHAnsi"/>
                <w:color w:val="000000"/>
                <w:sz w:val="20"/>
                <w:szCs w:val="20"/>
              </w:rPr>
            </w:pPr>
            <w:r w:rsidRPr="0072606D">
              <w:rPr>
                <w:rFonts w:cstheme="minorHAnsi"/>
                <w:color w:val="000000"/>
                <w:sz w:val="20"/>
                <w:szCs w:val="20"/>
              </w:rPr>
              <w:t>&gt;=90</w:t>
            </w:r>
          </w:p>
        </w:tc>
        <w:tc>
          <w:tcPr>
            <w:tcW w:w="2280" w:type="dxa"/>
            <w:tcBorders>
              <w:top w:val="nil"/>
              <w:left w:val="nil"/>
              <w:bottom w:val="nil"/>
              <w:right w:val="nil"/>
            </w:tcBorders>
            <w:shd w:val="clear" w:color="auto" w:fill="auto"/>
            <w:noWrap/>
            <w:vAlign w:val="bottom"/>
            <w:hideMark/>
          </w:tcPr>
          <w:p w14:paraId="659B72C0"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357 (56%)</w:t>
            </w:r>
          </w:p>
        </w:tc>
      </w:tr>
      <w:tr w:rsidR="001B651F" w:rsidRPr="0072606D" w14:paraId="7CF331FC" w14:textId="77777777" w:rsidTr="00D33128">
        <w:trPr>
          <w:trHeight w:val="280"/>
        </w:trPr>
        <w:tc>
          <w:tcPr>
            <w:tcW w:w="2977" w:type="dxa"/>
            <w:tcBorders>
              <w:top w:val="nil"/>
              <w:left w:val="nil"/>
              <w:bottom w:val="nil"/>
              <w:right w:val="nil"/>
            </w:tcBorders>
            <w:shd w:val="clear" w:color="auto" w:fill="auto"/>
            <w:noWrap/>
            <w:vAlign w:val="bottom"/>
            <w:hideMark/>
          </w:tcPr>
          <w:p w14:paraId="4162DCE3"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08C0C4EA"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664EED51"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32</w:t>
            </w:r>
          </w:p>
        </w:tc>
      </w:tr>
      <w:tr w:rsidR="001B651F" w:rsidRPr="0072606D" w14:paraId="4FB61EBE" w14:textId="77777777" w:rsidTr="00D33128">
        <w:trPr>
          <w:trHeight w:val="280"/>
        </w:trPr>
        <w:tc>
          <w:tcPr>
            <w:tcW w:w="2977" w:type="dxa"/>
            <w:tcBorders>
              <w:top w:val="nil"/>
              <w:left w:val="nil"/>
              <w:bottom w:val="nil"/>
              <w:right w:val="nil"/>
            </w:tcBorders>
            <w:shd w:val="clear" w:color="auto" w:fill="auto"/>
            <w:noWrap/>
            <w:vAlign w:val="bottom"/>
            <w:hideMark/>
          </w:tcPr>
          <w:p w14:paraId="18D19087" w14:textId="77777777" w:rsidR="001B651F" w:rsidRPr="0072606D" w:rsidRDefault="001B651F" w:rsidP="00D33128">
            <w:pPr>
              <w:rPr>
                <w:rFonts w:cstheme="minorHAnsi"/>
                <w:color w:val="000000"/>
                <w:sz w:val="20"/>
                <w:szCs w:val="20"/>
              </w:rPr>
            </w:pPr>
            <w:r w:rsidRPr="0072606D">
              <w:rPr>
                <w:rFonts w:cstheme="minorHAnsi"/>
                <w:color w:val="000000"/>
                <w:sz w:val="20"/>
                <w:szCs w:val="20"/>
              </w:rPr>
              <w:t>HCT-CI; # (%)</w:t>
            </w:r>
          </w:p>
        </w:tc>
        <w:tc>
          <w:tcPr>
            <w:tcW w:w="2603" w:type="dxa"/>
            <w:tcBorders>
              <w:top w:val="nil"/>
              <w:left w:val="nil"/>
              <w:bottom w:val="nil"/>
              <w:right w:val="nil"/>
            </w:tcBorders>
            <w:shd w:val="clear" w:color="auto" w:fill="auto"/>
            <w:noWrap/>
            <w:vAlign w:val="bottom"/>
            <w:hideMark/>
          </w:tcPr>
          <w:p w14:paraId="3AA247CF" w14:textId="77777777" w:rsidR="001B651F" w:rsidRPr="0072606D" w:rsidRDefault="001B651F" w:rsidP="00D33128">
            <w:pPr>
              <w:rPr>
                <w:rFonts w:cstheme="minorHAnsi"/>
                <w:color w:val="000000"/>
                <w:sz w:val="20"/>
                <w:szCs w:val="20"/>
              </w:rPr>
            </w:pPr>
            <w:r w:rsidRPr="0072606D">
              <w:rPr>
                <w:rFonts w:cstheme="minorHAnsi"/>
                <w:color w:val="000000"/>
                <w:sz w:val="20"/>
                <w:szCs w:val="20"/>
              </w:rPr>
              <w:t>HT-CI = 0</w:t>
            </w:r>
          </w:p>
        </w:tc>
        <w:tc>
          <w:tcPr>
            <w:tcW w:w="2280" w:type="dxa"/>
            <w:tcBorders>
              <w:top w:val="nil"/>
              <w:left w:val="nil"/>
              <w:bottom w:val="nil"/>
              <w:right w:val="nil"/>
            </w:tcBorders>
            <w:shd w:val="clear" w:color="auto" w:fill="auto"/>
            <w:noWrap/>
            <w:vAlign w:val="bottom"/>
            <w:hideMark/>
          </w:tcPr>
          <w:p w14:paraId="7EA9B5F3"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233 (48.4%)</w:t>
            </w:r>
          </w:p>
        </w:tc>
      </w:tr>
      <w:tr w:rsidR="001B651F" w:rsidRPr="0072606D" w14:paraId="50E99697" w14:textId="77777777" w:rsidTr="00D33128">
        <w:trPr>
          <w:trHeight w:val="280"/>
        </w:trPr>
        <w:tc>
          <w:tcPr>
            <w:tcW w:w="2977" w:type="dxa"/>
            <w:tcBorders>
              <w:top w:val="nil"/>
              <w:left w:val="nil"/>
              <w:bottom w:val="nil"/>
              <w:right w:val="nil"/>
            </w:tcBorders>
            <w:shd w:val="clear" w:color="auto" w:fill="auto"/>
            <w:noWrap/>
            <w:vAlign w:val="bottom"/>
            <w:hideMark/>
          </w:tcPr>
          <w:p w14:paraId="18C6356B"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06FC0DE9" w14:textId="77777777" w:rsidR="001B651F" w:rsidRPr="0072606D" w:rsidRDefault="001B651F" w:rsidP="00D33128">
            <w:pPr>
              <w:rPr>
                <w:rFonts w:cstheme="minorHAnsi"/>
                <w:color w:val="000000"/>
                <w:sz w:val="20"/>
                <w:szCs w:val="20"/>
              </w:rPr>
            </w:pPr>
            <w:r w:rsidRPr="0072606D">
              <w:rPr>
                <w:rFonts w:cstheme="minorHAnsi"/>
                <w:color w:val="000000"/>
                <w:sz w:val="20"/>
                <w:szCs w:val="20"/>
              </w:rPr>
              <w:t>HT-CI = 1 or 2</w:t>
            </w:r>
          </w:p>
        </w:tc>
        <w:tc>
          <w:tcPr>
            <w:tcW w:w="2280" w:type="dxa"/>
            <w:tcBorders>
              <w:top w:val="nil"/>
              <w:left w:val="nil"/>
              <w:bottom w:val="nil"/>
              <w:right w:val="nil"/>
            </w:tcBorders>
            <w:shd w:val="clear" w:color="auto" w:fill="auto"/>
            <w:noWrap/>
            <w:vAlign w:val="bottom"/>
            <w:hideMark/>
          </w:tcPr>
          <w:p w14:paraId="0EAE546D"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107 (22.2%)</w:t>
            </w:r>
          </w:p>
        </w:tc>
      </w:tr>
      <w:tr w:rsidR="001B651F" w:rsidRPr="0072606D" w14:paraId="646DF812" w14:textId="77777777" w:rsidTr="00D33128">
        <w:trPr>
          <w:trHeight w:val="280"/>
        </w:trPr>
        <w:tc>
          <w:tcPr>
            <w:tcW w:w="2977" w:type="dxa"/>
            <w:tcBorders>
              <w:top w:val="nil"/>
              <w:left w:val="nil"/>
              <w:bottom w:val="nil"/>
              <w:right w:val="nil"/>
            </w:tcBorders>
            <w:shd w:val="clear" w:color="auto" w:fill="auto"/>
            <w:noWrap/>
            <w:vAlign w:val="bottom"/>
            <w:hideMark/>
          </w:tcPr>
          <w:p w14:paraId="2C42F327"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1F76DFE9" w14:textId="77777777" w:rsidR="001B651F" w:rsidRPr="0072606D" w:rsidRDefault="001B651F" w:rsidP="00D33128">
            <w:pPr>
              <w:rPr>
                <w:rFonts w:cstheme="minorHAnsi"/>
                <w:color w:val="000000"/>
                <w:sz w:val="20"/>
                <w:szCs w:val="20"/>
              </w:rPr>
            </w:pPr>
            <w:r w:rsidRPr="0072606D">
              <w:rPr>
                <w:rFonts w:cstheme="minorHAnsi"/>
                <w:color w:val="000000"/>
                <w:sz w:val="20"/>
                <w:szCs w:val="20"/>
              </w:rPr>
              <w:t>HT-CI &gt;=3</w:t>
            </w:r>
          </w:p>
        </w:tc>
        <w:tc>
          <w:tcPr>
            <w:tcW w:w="2280" w:type="dxa"/>
            <w:tcBorders>
              <w:top w:val="nil"/>
              <w:left w:val="nil"/>
              <w:bottom w:val="nil"/>
              <w:right w:val="nil"/>
            </w:tcBorders>
            <w:shd w:val="clear" w:color="auto" w:fill="auto"/>
            <w:noWrap/>
            <w:vAlign w:val="bottom"/>
            <w:hideMark/>
          </w:tcPr>
          <w:p w14:paraId="2E789EB9"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141 (29.3%)</w:t>
            </w:r>
          </w:p>
        </w:tc>
      </w:tr>
      <w:tr w:rsidR="001B651F" w:rsidRPr="0072606D" w14:paraId="4EA585B2" w14:textId="77777777" w:rsidTr="00D33128">
        <w:trPr>
          <w:trHeight w:val="280"/>
        </w:trPr>
        <w:tc>
          <w:tcPr>
            <w:tcW w:w="2977" w:type="dxa"/>
            <w:tcBorders>
              <w:top w:val="nil"/>
              <w:left w:val="nil"/>
              <w:bottom w:val="nil"/>
              <w:right w:val="nil"/>
            </w:tcBorders>
            <w:shd w:val="clear" w:color="auto" w:fill="auto"/>
            <w:noWrap/>
            <w:vAlign w:val="bottom"/>
            <w:hideMark/>
          </w:tcPr>
          <w:p w14:paraId="69D2B4B6"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536B92B7"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60E86632"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189</w:t>
            </w:r>
          </w:p>
        </w:tc>
      </w:tr>
      <w:tr w:rsidR="001B651F" w:rsidRPr="0072606D" w14:paraId="2DCAD99A" w14:textId="77777777" w:rsidTr="00D33128">
        <w:trPr>
          <w:trHeight w:val="280"/>
        </w:trPr>
        <w:tc>
          <w:tcPr>
            <w:tcW w:w="2977" w:type="dxa"/>
            <w:tcBorders>
              <w:top w:val="nil"/>
              <w:left w:val="nil"/>
              <w:bottom w:val="nil"/>
              <w:right w:val="nil"/>
            </w:tcBorders>
            <w:shd w:val="clear" w:color="auto" w:fill="auto"/>
            <w:noWrap/>
            <w:vAlign w:val="bottom"/>
            <w:hideMark/>
          </w:tcPr>
          <w:p w14:paraId="3F06EF55"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Previous</w:t>
            </w:r>
            <w:proofErr w:type="spellEnd"/>
            <w:r w:rsidRPr="0072606D">
              <w:rPr>
                <w:rFonts w:cstheme="minorHAnsi"/>
                <w:color w:val="000000"/>
                <w:sz w:val="20"/>
                <w:szCs w:val="20"/>
              </w:rPr>
              <w:t xml:space="preserve"> auto HCT; # (%)</w:t>
            </w:r>
          </w:p>
        </w:tc>
        <w:tc>
          <w:tcPr>
            <w:tcW w:w="2603" w:type="dxa"/>
            <w:tcBorders>
              <w:top w:val="nil"/>
              <w:left w:val="nil"/>
              <w:bottom w:val="nil"/>
              <w:right w:val="nil"/>
            </w:tcBorders>
            <w:shd w:val="clear" w:color="auto" w:fill="auto"/>
            <w:noWrap/>
            <w:vAlign w:val="bottom"/>
            <w:hideMark/>
          </w:tcPr>
          <w:p w14:paraId="0818586A" w14:textId="77777777" w:rsidR="001B651F" w:rsidRPr="0072606D" w:rsidRDefault="001B651F" w:rsidP="00D33128">
            <w:pPr>
              <w:rPr>
                <w:rFonts w:cstheme="minorHAnsi"/>
                <w:color w:val="000000"/>
                <w:sz w:val="20"/>
                <w:szCs w:val="20"/>
              </w:rPr>
            </w:pPr>
            <w:r w:rsidRPr="0072606D">
              <w:rPr>
                <w:rFonts w:cstheme="minorHAnsi"/>
                <w:color w:val="000000"/>
                <w:sz w:val="20"/>
                <w:szCs w:val="20"/>
              </w:rPr>
              <w:t>no</w:t>
            </w:r>
          </w:p>
        </w:tc>
        <w:tc>
          <w:tcPr>
            <w:tcW w:w="2280" w:type="dxa"/>
            <w:tcBorders>
              <w:top w:val="nil"/>
              <w:left w:val="nil"/>
              <w:bottom w:val="nil"/>
              <w:right w:val="nil"/>
            </w:tcBorders>
            <w:shd w:val="clear" w:color="auto" w:fill="auto"/>
            <w:noWrap/>
            <w:vAlign w:val="bottom"/>
            <w:hideMark/>
          </w:tcPr>
          <w:p w14:paraId="29048764"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650 (97%)</w:t>
            </w:r>
          </w:p>
        </w:tc>
      </w:tr>
      <w:tr w:rsidR="001B651F" w:rsidRPr="0072606D" w14:paraId="48F97789" w14:textId="77777777" w:rsidTr="00D33128">
        <w:trPr>
          <w:trHeight w:val="280"/>
        </w:trPr>
        <w:tc>
          <w:tcPr>
            <w:tcW w:w="2977" w:type="dxa"/>
            <w:tcBorders>
              <w:top w:val="nil"/>
              <w:left w:val="nil"/>
              <w:bottom w:val="nil"/>
              <w:right w:val="nil"/>
            </w:tcBorders>
            <w:shd w:val="clear" w:color="auto" w:fill="auto"/>
            <w:noWrap/>
            <w:vAlign w:val="bottom"/>
            <w:hideMark/>
          </w:tcPr>
          <w:p w14:paraId="5A0AAD5B"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66A94FAD" w14:textId="77777777" w:rsidR="001B651F" w:rsidRPr="0072606D" w:rsidRDefault="001B651F" w:rsidP="00D33128">
            <w:pPr>
              <w:rPr>
                <w:rFonts w:cstheme="minorHAnsi"/>
                <w:color w:val="000000"/>
                <w:sz w:val="20"/>
                <w:szCs w:val="20"/>
              </w:rPr>
            </w:pPr>
            <w:r w:rsidRPr="0072606D">
              <w:rPr>
                <w:rFonts w:cstheme="minorHAnsi"/>
                <w:color w:val="000000"/>
                <w:sz w:val="20"/>
                <w:szCs w:val="20"/>
              </w:rPr>
              <w:t>Yes</w:t>
            </w:r>
          </w:p>
        </w:tc>
        <w:tc>
          <w:tcPr>
            <w:tcW w:w="2280" w:type="dxa"/>
            <w:tcBorders>
              <w:top w:val="nil"/>
              <w:left w:val="nil"/>
              <w:bottom w:val="nil"/>
              <w:right w:val="nil"/>
            </w:tcBorders>
            <w:shd w:val="clear" w:color="auto" w:fill="auto"/>
            <w:noWrap/>
            <w:vAlign w:val="bottom"/>
            <w:hideMark/>
          </w:tcPr>
          <w:p w14:paraId="086294F7"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20 (3%)</w:t>
            </w:r>
          </w:p>
        </w:tc>
      </w:tr>
      <w:tr w:rsidR="001B651F" w:rsidRPr="0072606D" w14:paraId="48EAFEE3" w14:textId="77777777" w:rsidTr="00D33128">
        <w:trPr>
          <w:trHeight w:val="280"/>
        </w:trPr>
        <w:tc>
          <w:tcPr>
            <w:tcW w:w="2977" w:type="dxa"/>
            <w:tcBorders>
              <w:top w:val="nil"/>
              <w:left w:val="nil"/>
              <w:bottom w:val="nil"/>
              <w:right w:val="nil"/>
            </w:tcBorders>
            <w:shd w:val="clear" w:color="auto" w:fill="auto"/>
            <w:noWrap/>
            <w:vAlign w:val="bottom"/>
            <w:hideMark/>
          </w:tcPr>
          <w:p w14:paraId="256B9844" w14:textId="77777777" w:rsidR="001B651F" w:rsidRPr="0072606D" w:rsidRDefault="001B651F" w:rsidP="00D33128">
            <w:pPr>
              <w:rPr>
                <w:rFonts w:cstheme="minorHAnsi"/>
                <w:color w:val="000000"/>
                <w:sz w:val="20"/>
                <w:szCs w:val="20"/>
              </w:rPr>
            </w:pPr>
            <w:r w:rsidRPr="0072606D">
              <w:rPr>
                <w:rFonts w:cstheme="minorHAnsi"/>
                <w:color w:val="000000"/>
                <w:sz w:val="20"/>
                <w:szCs w:val="20"/>
              </w:rPr>
              <w:t xml:space="preserve">Patient </w:t>
            </w:r>
            <w:proofErr w:type="spellStart"/>
            <w:r w:rsidRPr="0072606D">
              <w:rPr>
                <w:rFonts w:cstheme="minorHAnsi"/>
                <w:color w:val="000000"/>
                <w:sz w:val="20"/>
                <w:szCs w:val="20"/>
              </w:rPr>
              <w:t>sex</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2BBD25D9" w14:textId="77777777" w:rsidR="001B651F" w:rsidRPr="0072606D" w:rsidRDefault="001B651F" w:rsidP="00D33128">
            <w:pPr>
              <w:rPr>
                <w:rFonts w:cstheme="minorHAnsi"/>
                <w:color w:val="000000"/>
                <w:sz w:val="20"/>
                <w:szCs w:val="20"/>
              </w:rPr>
            </w:pPr>
            <w:r w:rsidRPr="0072606D">
              <w:rPr>
                <w:rFonts w:cstheme="minorHAnsi"/>
                <w:color w:val="000000"/>
                <w:sz w:val="20"/>
                <w:szCs w:val="20"/>
              </w:rPr>
              <w:t>Male</w:t>
            </w:r>
          </w:p>
        </w:tc>
        <w:tc>
          <w:tcPr>
            <w:tcW w:w="2280" w:type="dxa"/>
            <w:tcBorders>
              <w:top w:val="nil"/>
              <w:left w:val="nil"/>
              <w:bottom w:val="nil"/>
              <w:right w:val="nil"/>
            </w:tcBorders>
            <w:shd w:val="clear" w:color="auto" w:fill="auto"/>
            <w:noWrap/>
            <w:vAlign w:val="bottom"/>
            <w:hideMark/>
          </w:tcPr>
          <w:p w14:paraId="1261B1B4"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383 (57.2%)</w:t>
            </w:r>
          </w:p>
        </w:tc>
      </w:tr>
      <w:tr w:rsidR="001B651F" w:rsidRPr="0072606D" w14:paraId="698AFCA9" w14:textId="77777777" w:rsidTr="00D33128">
        <w:trPr>
          <w:trHeight w:val="280"/>
        </w:trPr>
        <w:tc>
          <w:tcPr>
            <w:tcW w:w="2977" w:type="dxa"/>
            <w:tcBorders>
              <w:top w:val="nil"/>
              <w:left w:val="nil"/>
              <w:bottom w:val="nil"/>
              <w:right w:val="nil"/>
            </w:tcBorders>
            <w:shd w:val="clear" w:color="auto" w:fill="auto"/>
            <w:noWrap/>
            <w:vAlign w:val="bottom"/>
            <w:hideMark/>
          </w:tcPr>
          <w:p w14:paraId="7A4122A7"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2FDB58DB"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Female</w:t>
            </w:r>
            <w:proofErr w:type="spellEnd"/>
          </w:p>
        </w:tc>
        <w:tc>
          <w:tcPr>
            <w:tcW w:w="2280" w:type="dxa"/>
            <w:tcBorders>
              <w:top w:val="nil"/>
              <w:left w:val="nil"/>
              <w:bottom w:val="nil"/>
              <w:right w:val="nil"/>
            </w:tcBorders>
            <w:shd w:val="clear" w:color="auto" w:fill="auto"/>
            <w:noWrap/>
            <w:vAlign w:val="bottom"/>
            <w:hideMark/>
          </w:tcPr>
          <w:p w14:paraId="0CEC8A86"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286 (42.8%)</w:t>
            </w:r>
          </w:p>
        </w:tc>
      </w:tr>
      <w:tr w:rsidR="001B651F" w:rsidRPr="0072606D" w14:paraId="2D235D7F" w14:textId="77777777" w:rsidTr="00D33128">
        <w:trPr>
          <w:trHeight w:val="280"/>
        </w:trPr>
        <w:tc>
          <w:tcPr>
            <w:tcW w:w="2977" w:type="dxa"/>
            <w:tcBorders>
              <w:top w:val="nil"/>
              <w:left w:val="nil"/>
              <w:bottom w:val="nil"/>
              <w:right w:val="nil"/>
            </w:tcBorders>
            <w:shd w:val="clear" w:color="auto" w:fill="auto"/>
            <w:noWrap/>
            <w:vAlign w:val="bottom"/>
            <w:hideMark/>
          </w:tcPr>
          <w:p w14:paraId="140BD243"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248E1947"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7A6C7076"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w:t>
            </w:r>
          </w:p>
        </w:tc>
      </w:tr>
      <w:tr w:rsidR="001B651F" w:rsidRPr="0072606D" w14:paraId="4C1C200D" w14:textId="77777777" w:rsidTr="00D33128">
        <w:trPr>
          <w:trHeight w:val="280"/>
        </w:trPr>
        <w:tc>
          <w:tcPr>
            <w:tcW w:w="2977" w:type="dxa"/>
            <w:tcBorders>
              <w:top w:val="nil"/>
              <w:left w:val="nil"/>
              <w:bottom w:val="nil"/>
              <w:right w:val="nil"/>
            </w:tcBorders>
            <w:shd w:val="clear" w:color="auto" w:fill="auto"/>
            <w:noWrap/>
            <w:vAlign w:val="bottom"/>
            <w:hideMark/>
          </w:tcPr>
          <w:p w14:paraId="40C6AA14"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Donor</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sex</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20778C0C" w14:textId="77777777" w:rsidR="001B651F" w:rsidRPr="0072606D" w:rsidRDefault="001B651F" w:rsidP="00D33128">
            <w:pPr>
              <w:rPr>
                <w:rFonts w:cstheme="minorHAnsi"/>
                <w:color w:val="000000"/>
                <w:sz w:val="20"/>
                <w:szCs w:val="20"/>
              </w:rPr>
            </w:pPr>
            <w:r w:rsidRPr="0072606D">
              <w:rPr>
                <w:rFonts w:cstheme="minorHAnsi"/>
                <w:color w:val="000000"/>
                <w:sz w:val="20"/>
                <w:szCs w:val="20"/>
              </w:rPr>
              <w:t xml:space="preserve"> </w:t>
            </w:r>
            <w:proofErr w:type="spellStart"/>
            <w:r w:rsidRPr="0072606D">
              <w:rPr>
                <w:rFonts w:cstheme="minorHAnsi"/>
                <w:color w:val="000000"/>
                <w:sz w:val="20"/>
                <w:szCs w:val="20"/>
              </w:rPr>
              <w:t>donor</w:t>
            </w:r>
            <w:proofErr w:type="spellEnd"/>
            <w:r w:rsidRPr="0072606D">
              <w:rPr>
                <w:rFonts w:cstheme="minorHAnsi"/>
                <w:color w:val="000000"/>
                <w:sz w:val="20"/>
                <w:szCs w:val="20"/>
              </w:rPr>
              <w:t xml:space="preserve"> male</w:t>
            </w:r>
          </w:p>
        </w:tc>
        <w:tc>
          <w:tcPr>
            <w:tcW w:w="2280" w:type="dxa"/>
            <w:tcBorders>
              <w:top w:val="nil"/>
              <w:left w:val="nil"/>
              <w:bottom w:val="nil"/>
              <w:right w:val="nil"/>
            </w:tcBorders>
            <w:shd w:val="clear" w:color="auto" w:fill="auto"/>
            <w:noWrap/>
            <w:vAlign w:val="bottom"/>
            <w:hideMark/>
          </w:tcPr>
          <w:p w14:paraId="2544667A"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412 (61.7%)</w:t>
            </w:r>
          </w:p>
        </w:tc>
      </w:tr>
      <w:tr w:rsidR="001B651F" w:rsidRPr="0072606D" w14:paraId="7B48FE93" w14:textId="77777777" w:rsidTr="00D33128">
        <w:trPr>
          <w:trHeight w:val="280"/>
        </w:trPr>
        <w:tc>
          <w:tcPr>
            <w:tcW w:w="2977" w:type="dxa"/>
            <w:tcBorders>
              <w:top w:val="nil"/>
              <w:left w:val="nil"/>
              <w:bottom w:val="nil"/>
              <w:right w:val="nil"/>
            </w:tcBorders>
            <w:shd w:val="clear" w:color="auto" w:fill="auto"/>
            <w:noWrap/>
            <w:vAlign w:val="bottom"/>
            <w:hideMark/>
          </w:tcPr>
          <w:p w14:paraId="6E06625E"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05F8B394"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donor</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female</w:t>
            </w:r>
            <w:proofErr w:type="spellEnd"/>
          </w:p>
        </w:tc>
        <w:tc>
          <w:tcPr>
            <w:tcW w:w="2280" w:type="dxa"/>
            <w:tcBorders>
              <w:top w:val="nil"/>
              <w:left w:val="nil"/>
              <w:bottom w:val="nil"/>
              <w:right w:val="nil"/>
            </w:tcBorders>
            <w:shd w:val="clear" w:color="auto" w:fill="auto"/>
            <w:noWrap/>
            <w:vAlign w:val="bottom"/>
            <w:hideMark/>
          </w:tcPr>
          <w:p w14:paraId="310DD8F5"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256 (38.3%)</w:t>
            </w:r>
          </w:p>
        </w:tc>
      </w:tr>
      <w:tr w:rsidR="001B651F" w:rsidRPr="0072606D" w14:paraId="52B69761" w14:textId="77777777" w:rsidTr="00D33128">
        <w:trPr>
          <w:trHeight w:val="280"/>
        </w:trPr>
        <w:tc>
          <w:tcPr>
            <w:tcW w:w="2977" w:type="dxa"/>
            <w:tcBorders>
              <w:top w:val="nil"/>
              <w:left w:val="nil"/>
              <w:bottom w:val="nil"/>
              <w:right w:val="nil"/>
            </w:tcBorders>
            <w:shd w:val="clear" w:color="auto" w:fill="auto"/>
            <w:noWrap/>
            <w:vAlign w:val="bottom"/>
            <w:hideMark/>
          </w:tcPr>
          <w:p w14:paraId="3A5B49DC"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5B2D4B85"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73B71BE8"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w:t>
            </w:r>
          </w:p>
        </w:tc>
      </w:tr>
      <w:tr w:rsidR="001B651F" w:rsidRPr="0072606D" w14:paraId="4631AA66" w14:textId="77777777" w:rsidTr="00D33128">
        <w:trPr>
          <w:trHeight w:val="280"/>
        </w:trPr>
        <w:tc>
          <w:tcPr>
            <w:tcW w:w="2977" w:type="dxa"/>
            <w:tcBorders>
              <w:top w:val="nil"/>
              <w:left w:val="nil"/>
              <w:bottom w:val="nil"/>
              <w:right w:val="nil"/>
            </w:tcBorders>
            <w:shd w:val="clear" w:color="auto" w:fill="auto"/>
            <w:noWrap/>
            <w:vAlign w:val="bottom"/>
            <w:hideMark/>
          </w:tcPr>
          <w:p w14:paraId="41DA4712"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Female</w:t>
            </w:r>
            <w:proofErr w:type="spellEnd"/>
            <w:r w:rsidRPr="0072606D">
              <w:rPr>
                <w:rFonts w:cstheme="minorHAnsi"/>
                <w:color w:val="000000"/>
                <w:sz w:val="20"/>
                <w:szCs w:val="20"/>
              </w:rPr>
              <w:t xml:space="preserve"> to male; # (%)</w:t>
            </w:r>
          </w:p>
        </w:tc>
        <w:tc>
          <w:tcPr>
            <w:tcW w:w="2603" w:type="dxa"/>
            <w:tcBorders>
              <w:top w:val="nil"/>
              <w:left w:val="nil"/>
              <w:bottom w:val="nil"/>
              <w:right w:val="nil"/>
            </w:tcBorders>
            <w:shd w:val="clear" w:color="auto" w:fill="auto"/>
            <w:noWrap/>
            <w:vAlign w:val="bottom"/>
            <w:hideMark/>
          </w:tcPr>
          <w:p w14:paraId="6DE5476A" w14:textId="77777777" w:rsidR="001B651F" w:rsidRPr="0072606D" w:rsidRDefault="001B651F" w:rsidP="00D33128">
            <w:pPr>
              <w:rPr>
                <w:rFonts w:cstheme="minorHAnsi"/>
                <w:color w:val="000000"/>
                <w:sz w:val="20"/>
                <w:szCs w:val="20"/>
              </w:rPr>
            </w:pPr>
            <w:r w:rsidRPr="0072606D">
              <w:rPr>
                <w:rFonts w:cstheme="minorHAnsi"/>
                <w:color w:val="000000"/>
                <w:sz w:val="20"/>
                <w:szCs w:val="20"/>
              </w:rPr>
              <w:t>no F-&gt;M</w:t>
            </w:r>
          </w:p>
        </w:tc>
        <w:tc>
          <w:tcPr>
            <w:tcW w:w="2280" w:type="dxa"/>
            <w:tcBorders>
              <w:top w:val="nil"/>
              <w:left w:val="nil"/>
              <w:bottom w:val="nil"/>
              <w:right w:val="nil"/>
            </w:tcBorders>
            <w:shd w:val="clear" w:color="auto" w:fill="auto"/>
            <w:noWrap/>
            <w:vAlign w:val="bottom"/>
            <w:hideMark/>
          </w:tcPr>
          <w:p w14:paraId="0FF1B176"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529 (79%)</w:t>
            </w:r>
          </w:p>
        </w:tc>
      </w:tr>
      <w:tr w:rsidR="001B651F" w:rsidRPr="0072606D" w14:paraId="0DFC3710" w14:textId="77777777" w:rsidTr="00D33128">
        <w:trPr>
          <w:trHeight w:val="280"/>
        </w:trPr>
        <w:tc>
          <w:tcPr>
            <w:tcW w:w="2977" w:type="dxa"/>
            <w:tcBorders>
              <w:top w:val="nil"/>
              <w:left w:val="nil"/>
              <w:bottom w:val="nil"/>
              <w:right w:val="nil"/>
            </w:tcBorders>
            <w:shd w:val="clear" w:color="auto" w:fill="auto"/>
            <w:noWrap/>
            <w:vAlign w:val="bottom"/>
            <w:hideMark/>
          </w:tcPr>
          <w:p w14:paraId="7A62DD2C"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3DCBE42F" w14:textId="77777777" w:rsidR="001B651F" w:rsidRPr="0072606D" w:rsidRDefault="001B651F" w:rsidP="00D33128">
            <w:pPr>
              <w:rPr>
                <w:rFonts w:cstheme="minorHAnsi"/>
                <w:color w:val="000000"/>
                <w:sz w:val="20"/>
                <w:szCs w:val="20"/>
              </w:rPr>
            </w:pPr>
            <w:r w:rsidRPr="0072606D">
              <w:rPr>
                <w:rFonts w:cstheme="minorHAnsi"/>
                <w:color w:val="000000"/>
                <w:sz w:val="20"/>
                <w:szCs w:val="20"/>
              </w:rPr>
              <w:t>F-&gt;M</w:t>
            </w:r>
          </w:p>
        </w:tc>
        <w:tc>
          <w:tcPr>
            <w:tcW w:w="2280" w:type="dxa"/>
            <w:tcBorders>
              <w:top w:val="nil"/>
              <w:left w:val="nil"/>
              <w:bottom w:val="nil"/>
              <w:right w:val="nil"/>
            </w:tcBorders>
            <w:shd w:val="clear" w:color="auto" w:fill="auto"/>
            <w:noWrap/>
            <w:vAlign w:val="bottom"/>
            <w:hideMark/>
          </w:tcPr>
          <w:p w14:paraId="51FDBB03"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141 (21%)</w:t>
            </w:r>
          </w:p>
        </w:tc>
      </w:tr>
      <w:tr w:rsidR="001B651F" w:rsidRPr="0072606D" w14:paraId="1D474F05" w14:textId="77777777" w:rsidTr="00D33128">
        <w:trPr>
          <w:trHeight w:val="280"/>
        </w:trPr>
        <w:tc>
          <w:tcPr>
            <w:tcW w:w="2977" w:type="dxa"/>
            <w:tcBorders>
              <w:top w:val="nil"/>
              <w:left w:val="nil"/>
              <w:bottom w:val="nil"/>
              <w:right w:val="nil"/>
            </w:tcBorders>
            <w:shd w:val="clear" w:color="auto" w:fill="auto"/>
            <w:noWrap/>
            <w:vAlign w:val="bottom"/>
            <w:hideMark/>
          </w:tcPr>
          <w:p w14:paraId="1FD9138B"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Donor</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age</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years</w:t>
            </w:r>
            <w:proofErr w:type="spellEnd"/>
            <w:r w:rsidRPr="0072606D">
              <w:rPr>
                <w:rFonts w:cstheme="minorHAnsi"/>
                <w:color w:val="000000"/>
                <w:sz w:val="20"/>
                <w:szCs w:val="20"/>
              </w:rPr>
              <w:t>)</w:t>
            </w:r>
          </w:p>
        </w:tc>
        <w:tc>
          <w:tcPr>
            <w:tcW w:w="2603" w:type="dxa"/>
            <w:tcBorders>
              <w:top w:val="nil"/>
              <w:left w:val="nil"/>
              <w:bottom w:val="nil"/>
              <w:right w:val="nil"/>
            </w:tcBorders>
            <w:shd w:val="clear" w:color="auto" w:fill="auto"/>
            <w:noWrap/>
            <w:vAlign w:val="bottom"/>
            <w:hideMark/>
          </w:tcPr>
          <w:p w14:paraId="65CF6DD9"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median</w:t>
            </w:r>
            <w:proofErr w:type="spellEnd"/>
            <w:r w:rsidRPr="0072606D">
              <w:rPr>
                <w:rFonts w:cstheme="minorHAnsi"/>
                <w:color w:val="000000"/>
                <w:sz w:val="20"/>
                <w:szCs w:val="20"/>
              </w:rPr>
              <w:t xml:space="preserve"> (min-max) [IQR]</w:t>
            </w:r>
          </w:p>
        </w:tc>
        <w:tc>
          <w:tcPr>
            <w:tcW w:w="2280" w:type="dxa"/>
            <w:tcBorders>
              <w:top w:val="nil"/>
              <w:left w:val="nil"/>
              <w:bottom w:val="nil"/>
              <w:right w:val="nil"/>
            </w:tcBorders>
            <w:shd w:val="clear" w:color="auto" w:fill="auto"/>
            <w:noWrap/>
            <w:vAlign w:val="bottom"/>
            <w:hideMark/>
          </w:tcPr>
          <w:p w14:paraId="61B5FA11"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38.1 (13.1-73.9) [30-48]</w:t>
            </w:r>
          </w:p>
        </w:tc>
      </w:tr>
      <w:tr w:rsidR="001B651F" w:rsidRPr="0072606D" w14:paraId="0464EC40" w14:textId="77777777" w:rsidTr="00D33128">
        <w:trPr>
          <w:trHeight w:val="280"/>
        </w:trPr>
        <w:tc>
          <w:tcPr>
            <w:tcW w:w="2977" w:type="dxa"/>
            <w:tcBorders>
              <w:top w:val="nil"/>
              <w:left w:val="nil"/>
              <w:bottom w:val="nil"/>
              <w:right w:val="nil"/>
            </w:tcBorders>
            <w:shd w:val="clear" w:color="auto" w:fill="auto"/>
            <w:noWrap/>
            <w:vAlign w:val="bottom"/>
            <w:hideMark/>
          </w:tcPr>
          <w:p w14:paraId="53AF3B6C"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04877874"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r w:rsidRPr="0072606D">
              <w:rPr>
                <w:rFonts w:cstheme="minorHAnsi"/>
                <w:color w:val="000000"/>
                <w:sz w:val="20"/>
                <w:szCs w:val="20"/>
              </w:rPr>
              <w:t xml:space="preserve"> (#)</w:t>
            </w:r>
          </w:p>
        </w:tc>
        <w:tc>
          <w:tcPr>
            <w:tcW w:w="2280" w:type="dxa"/>
            <w:tcBorders>
              <w:top w:val="nil"/>
              <w:left w:val="nil"/>
              <w:bottom w:val="nil"/>
              <w:right w:val="nil"/>
            </w:tcBorders>
            <w:shd w:val="clear" w:color="auto" w:fill="auto"/>
            <w:noWrap/>
            <w:vAlign w:val="bottom"/>
            <w:hideMark/>
          </w:tcPr>
          <w:p w14:paraId="5C24A1ED"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29</w:t>
            </w:r>
          </w:p>
        </w:tc>
      </w:tr>
      <w:tr w:rsidR="001B651F" w:rsidRPr="0072606D" w14:paraId="1BE3F2E0" w14:textId="77777777" w:rsidTr="00D33128">
        <w:trPr>
          <w:trHeight w:val="280"/>
        </w:trPr>
        <w:tc>
          <w:tcPr>
            <w:tcW w:w="2977" w:type="dxa"/>
            <w:tcBorders>
              <w:top w:val="nil"/>
              <w:left w:val="nil"/>
              <w:bottom w:val="nil"/>
              <w:right w:val="nil"/>
            </w:tcBorders>
            <w:shd w:val="clear" w:color="auto" w:fill="auto"/>
            <w:noWrap/>
            <w:vAlign w:val="bottom"/>
            <w:hideMark/>
          </w:tcPr>
          <w:p w14:paraId="2EC7FCFD" w14:textId="77777777" w:rsidR="001B651F" w:rsidRPr="0072606D" w:rsidRDefault="001B651F" w:rsidP="00D33128">
            <w:pPr>
              <w:rPr>
                <w:rFonts w:cstheme="minorHAnsi"/>
                <w:color w:val="000000"/>
                <w:sz w:val="20"/>
                <w:szCs w:val="20"/>
              </w:rPr>
            </w:pPr>
            <w:r w:rsidRPr="0072606D">
              <w:rPr>
                <w:rFonts w:cstheme="minorHAnsi"/>
                <w:color w:val="000000"/>
                <w:sz w:val="20"/>
                <w:szCs w:val="20"/>
              </w:rPr>
              <w:t>Patient CMV; # (%)</w:t>
            </w:r>
          </w:p>
        </w:tc>
        <w:tc>
          <w:tcPr>
            <w:tcW w:w="2603" w:type="dxa"/>
            <w:tcBorders>
              <w:top w:val="nil"/>
              <w:left w:val="nil"/>
              <w:bottom w:val="nil"/>
              <w:right w:val="nil"/>
            </w:tcBorders>
            <w:shd w:val="clear" w:color="auto" w:fill="auto"/>
            <w:noWrap/>
            <w:vAlign w:val="bottom"/>
            <w:hideMark/>
          </w:tcPr>
          <w:p w14:paraId="4941300E" w14:textId="77777777" w:rsidR="001B651F" w:rsidRPr="0072606D" w:rsidRDefault="001B651F" w:rsidP="00D33128">
            <w:pPr>
              <w:rPr>
                <w:rFonts w:cstheme="minorHAnsi"/>
                <w:color w:val="000000"/>
                <w:sz w:val="20"/>
                <w:szCs w:val="20"/>
              </w:rPr>
            </w:pPr>
            <w:r w:rsidRPr="0072606D">
              <w:rPr>
                <w:rFonts w:cstheme="minorHAnsi"/>
                <w:color w:val="000000"/>
                <w:sz w:val="20"/>
                <w:szCs w:val="20"/>
              </w:rPr>
              <w:t xml:space="preserve">Pat. CMV </w:t>
            </w:r>
            <w:proofErr w:type="spellStart"/>
            <w:r w:rsidRPr="0072606D">
              <w:rPr>
                <w:rFonts w:cstheme="minorHAnsi"/>
                <w:color w:val="000000"/>
                <w:sz w:val="20"/>
                <w:szCs w:val="20"/>
              </w:rPr>
              <w:t>neg</w:t>
            </w:r>
            <w:proofErr w:type="spellEnd"/>
            <w:r w:rsidRPr="0072606D">
              <w:rPr>
                <w:rFonts w:cstheme="minorHAnsi"/>
                <w:color w:val="000000"/>
                <w:sz w:val="20"/>
                <w:szCs w:val="20"/>
              </w:rPr>
              <w:t>.</w:t>
            </w:r>
          </w:p>
        </w:tc>
        <w:tc>
          <w:tcPr>
            <w:tcW w:w="2280" w:type="dxa"/>
            <w:tcBorders>
              <w:top w:val="nil"/>
              <w:left w:val="nil"/>
              <w:bottom w:val="nil"/>
              <w:right w:val="nil"/>
            </w:tcBorders>
            <w:shd w:val="clear" w:color="auto" w:fill="auto"/>
            <w:noWrap/>
            <w:vAlign w:val="bottom"/>
            <w:hideMark/>
          </w:tcPr>
          <w:p w14:paraId="64DD6120"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159 (24.1%)</w:t>
            </w:r>
          </w:p>
        </w:tc>
      </w:tr>
      <w:tr w:rsidR="001B651F" w:rsidRPr="0072606D" w14:paraId="737650A8" w14:textId="77777777" w:rsidTr="00D33128">
        <w:trPr>
          <w:trHeight w:val="280"/>
        </w:trPr>
        <w:tc>
          <w:tcPr>
            <w:tcW w:w="2977" w:type="dxa"/>
            <w:tcBorders>
              <w:top w:val="nil"/>
              <w:left w:val="nil"/>
              <w:bottom w:val="nil"/>
              <w:right w:val="nil"/>
            </w:tcBorders>
            <w:shd w:val="clear" w:color="auto" w:fill="auto"/>
            <w:noWrap/>
            <w:vAlign w:val="bottom"/>
            <w:hideMark/>
          </w:tcPr>
          <w:p w14:paraId="12E94495"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19F8CD5E" w14:textId="77777777" w:rsidR="001B651F" w:rsidRPr="0072606D" w:rsidRDefault="001B651F" w:rsidP="00D33128">
            <w:pPr>
              <w:rPr>
                <w:rFonts w:cstheme="minorHAnsi"/>
                <w:color w:val="000000"/>
                <w:sz w:val="20"/>
                <w:szCs w:val="20"/>
              </w:rPr>
            </w:pPr>
            <w:r w:rsidRPr="0072606D">
              <w:rPr>
                <w:rFonts w:cstheme="minorHAnsi"/>
                <w:color w:val="000000"/>
                <w:sz w:val="20"/>
                <w:szCs w:val="20"/>
              </w:rPr>
              <w:t>Pat. CMV pos</w:t>
            </w:r>
          </w:p>
        </w:tc>
        <w:tc>
          <w:tcPr>
            <w:tcW w:w="2280" w:type="dxa"/>
            <w:tcBorders>
              <w:top w:val="nil"/>
              <w:left w:val="nil"/>
              <w:bottom w:val="nil"/>
              <w:right w:val="nil"/>
            </w:tcBorders>
            <w:shd w:val="clear" w:color="auto" w:fill="auto"/>
            <w:noWrap/>
            <w:vAlign w:val="bottom"/>
            <w:hideMark/>
          </w:tcPr>
          <w:p w14:paraId="78EB3C54"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502 (75.9%)</w:t>
            </w:r>
          </w:p>
        </w:tc>
      </w:tr>
      <w:tr w:rsidR="001B651F" w:rsidRPr="0072606D" w14:paraId="30273949" w14:textId="77777777" w:rsidTr="00D33128">
        <w:trPr>
          <w:trHeight w:val="280"/>
        </w:trPr>
        <w:tc>
          <w:tcPr>
            <w:tcW w:w="2977" w:type="dxa"/>
            <w:tcBorders>
              <w:top w:val="nil"/>
              <w:left w:val="nil"/>
              <w:bottom w:val="nil"/>
              <w:right w:val="nil"/>
            </w:tcBorders>
            <w:shd w:val="clear" w:color="auto" w:fill="auto"/>
            <w:noWrap/>
            <w:vAlign w:val="bottom"/>
            <w:hideMark/>
          </w:tcPr>
          <w:p w14:paraId="1D013DD6"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53ADF782"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53FD1BFA"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9</w:t>
            </w:r>
          </w:p>
        </w:tc>
      </w:tr>
      <w:tr w:rsidR="001B651F" w:rsidRPr="0072606D" w14:paraId="2A84BEBD" w14:textId="77777777" w:rsidTr="00D33128">
        <w:trPr>
          <w:trHeight w:val="280"/>
        </w:trPr>
        <w:tc>
          <w:tcPr>
            <w:tcW w:w="2977" w:type="dxa"/>
            <w:tcBorders>
              <w:top w:val="nil"/>
              <w:left w:val="nil"/>
              <w:bottom w:val="nil"/>
              <w:right w:val="nil"/>
            </w:tcBorders>
            <w:shd w:val="clear" w:color="auto" w:fill="auto"/>
            <w:noWrap/>
            <w:vAlign w:val="bottom"/>
            <w:hideMark/>
          </w:tcPr>
          <w:p w14:paraId="6BCD7BD6"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Donor</w:t>
            </w:r>
            <w:proofErr w:type="spellEnd"/>
            <w:r w:rsidRPr="0072606D">
              <w:rPr>
                <w:rFonts w:cstheme="minorHAnsi"/>
                <w:color w:val="000000"/>
                <w:sz w:val="20"/>
                <w:szCs w:val="20"/>
              </w:rPr>
              <w:t xml:space="preserve"> CMV; # (%)</w:t>
            </w:r>
          </w:p>
        </w:tc>
        <w:tc>
          <w:tcPr>
            <w:tcW w:w="2603" w:type="dxa"/>
            <w:tcBorders>
              <w:top w:val="nil"/>
              <w:left w:val="nil"/>
              <w:bottom w:val="nil"/>
              <w:right w:val="nil"/>
            </w:tcBorders>
            <w:shd w:val="clear" w:color="auto" w:fill="auto"/>
            <w:noWrap/>
            <w:vAlign w:val="bottom"/>
            <w:hideMark/>
          </w:tcPr>
          <w:p w14:paraId="4514A42C" w14:textId="77777777" w:rsidR="001B651F" w:rsidRPr="0072606D" w:rsidRDefault="001B651F" w:rsidP="00D33128">
            <w:pPr>
              <w:rPr>
                <w:rFonts w:cstheme="minorHAnsi"/>
                <w:color w:val="000000"/>
                <w:sz w:val="20"/>
                <w:szCs w:val="20"/>
              </w:rPr>
            </w:pPr>
            <w:r w:rsidRPr="0072606D">
              <w:rPr>
                <w:rFonts w:cstheme="minorHAnsi"/>
                <w:color w:val="000000"/>
                <w:sz w:val="20"/>
                <w:szCs w:val="20"/>
              </w:rPr>
              <w:t xml:space="preserve">Don. CMV </w:t>
            </w:r>
            <w:proofErr w:type="spellStart"/>
            <w:r w:rsidRPr="0072606D">
              <w:rPr>
                <w:rFonts w:cstheme="minorHAnsi"/>
                <w:color w:val="000000"/>
                <w:sz w:val="20"/>
                <w:szCs w:val="20"/>
              </w:rPr>
              <w:t>neg</w:t>
            </w:r>
            <w:proofErr w:type="spellEnd"/>
            <w:r w:rsidRPr="0072606D">
              <w:rPr>
                <w:rFonts w:cstheme="minorHAnsi"/>
                <w:color w:val="000000"/>
                <w:sz w:val="20"/>
                <w:szCs w:val="20"/>
              </w:rPr>
              <w:t>.</w:t>
            </w:r>
          </w:p>
        </w:tc>
        <w:tc>
          <w:tcPr>
            <w:tcW w:w="2280" w:type="dxa"/>
            <w:tcBorders>
              <w:top w:val="nil"/>
              <w:left w:val="nil"/>
              <w:bottom w:val="nil"/>
              <w:right w:val="nil"/>
            </w:tcBorders>
            <w:shd w:val="clear" w:color="auto" w:fill="auto"/>
            <w:noWrap/>
            <w:vAlign w:val="bottom"/>
            <w:hideMark/>
          </w:tcPr>
          <w:p w14:paraId="43EB0752"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277 (42.2%)</w:t>
            </w:r>
          </w:p>
        </w:tc>
      </w:tr>
      <w:tr w:rsidR="001B651F" w:rsidRPr="0072606D" w14:paraId="069E877A" w14:textId="77777777" w:rsidTr="00D33128">
        <w:trPr>
          <w:trHeight w:val="280"/>
        </w:trPr>
        <w:tc>
          <w:tcPr>
            <w:tcW w:w="2977" w:type="dxa"/>
            <w:tcBorders>
              <w:top w:val="nil"/>
              <w:left w:val="nil"/>
              <w:bottom w:val="nil"/>
              <w:right w:val="nil"/>
            </w:tcBorders>
            <w:shd w:val="clear" w:color="auto" w:fill="auto"/>
            <w:noWrap/>
            <w:vAlign w:val="bottom"/>
            <w:hideMark/>
          </w:tcPr>
          <w:p w14:paraId="41962C5B"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393074C7" w14:textId="77777777" w:rsidR="001B651F" w:rsidRPr="0072606D" w:rsidRDefault="001B651F" w:rsidP="00D33128">
            <w:pPr>
              <w:rPr>
                <w:rFonts w:cstheme="minorHAnsi"/>
                <w:color w:val="000000"/>
                <w:sz w:val="20"/>
                <w:szCs w:val="20"/>
              </w:rPr>
            </w:pPr>
            <w:r w:rsidRPr="0072606D">
              <w:rPr>
                <w:rFonts w:cstheme="minorHAnsi"/>
                <w:color w:val="000000"/>
                <w:sz w:val="20"/>
                <w:szCs w:val="20"/>
              </w:rPr>
              <w:t>Don. CMV pos</w:t>
            </w:r>
          </w:p>
        </w:tc>
        <w:tc>
          <w:tcPr>
            <w:tcW w:w="2280" w:type="dxa"/>
            <w:tcBorders>
              <w:top w:val="nil"/>
              <w:left w:val="nil"/>
              <w:bottom w:val="nil"/>
              <w:right w:val="nil"/>
            </w:tcBorders>
            <w:shd w:val="clear" w:color="auto" w:fill="auto"/>
            <w:noWrap/>
            <w:vAlign w:val="bottom"/>
            <w:hideMark/>
          </w:tcPr>
          <w:p w14:paraId="12FCC858"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379 (57.8%)</w:t>
            </w:r>
          </w:p>
        </w:tc>
      </w:tr>
      <w:tr w:rsidR="001B651F" w:rsidRPr="0072606D" w14:paraId="49D26E36" w14:textId="77777777" w:rsidTr="00D33128">
        <w:trPr>
          <w:trHeight w:val="280"/>
        </w:trPr>
        <w:tc>
          <w:tcPr>
            <w:tcW w:w="2977" w:type="dxa"/>
            <w:tcBorders>
              <w:top w:val="nil"/>
              <w:left w:val="nil"/>
              <w:bottom w:val="nil"/>
              <w:right w:val="nil"/>
            </w:tcBorders>
            <w:shd w:val="clear" w:color="auto" w:fill="auto"/>
            <w:noWrap/>
            <w:vAlign w:val="bottom"/>
            <w:hideMark/>
          </w:tcPr>
          <w:p w14:paraId="0AC00CF2"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04BD472E"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missing</w:t>
            </w:r>
            <w:proofErr w:type="spellEnd"/>
          </w:p>
        </w:tc>
        <w:tc>
          <w:tcPr>
            <w:tcW w:w="2280" w:type="dxa"/>
            <w:tcBorders>
              <w:top w:val="nil"/>
              <w:left w:val="nil"/>
              <w:bottom w:val="nil"/>
              <w:right w:val="nil"/>
            </w:tcBorders>
            <w:shd w:val="clear" w:color="auto" w:fill="auto"/>
            <w:noWrap/>
            <w:vAlign w:val="bottom"/>
            <w:hideMark/>
          </w:tcPr>
          <w:p w14:paraId="6C606A14"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14</w:t>
            </w:r>
          </w:p>
        </w:tc>
      </w:tr>
      <w:tr w:rsidR="001B651F" w:rsidRPr="0072606D" w14:paraId="2167B451" w14:textId="77777777" w:rsidTr="00D33128">
        <w:trPr>
          <w:trHeight w:val="280"/>
        </w:trPr>
        <w:tc>
          <w:tcPr>
            <w:tcW w:w="2977" w:type="dxa"/>
            <w:tcBorders>
              <w:top w:val="nil"/>
              <w:left w:val="nil"/>
              <w:bottom w:val="nil"/>
              <w:right w:val="nil"/>
            </w:tcBorders>
            <w:shd w:val="clear" w:color="auto" w:fill="auto"/>
            <w:noWrap/>
            <w:vAlign w:val="bottom"/>
            <w:hideMark/>
          </w:tcPr>
          <w:p w14:paraId="28DAEBA7" w14:textId="77777777" w:rsidR="001B651F" w:rsidRPr="0072606D" w:rsidRDefault="001B651F" w:rsidP="00D33128">
            <w:pPr>
              <w:rPr>
                <w:rFonts w:cstheme="minorHAnsi"/>
                <w:color w:val="000000"/>
                <w:sz w:val="20"/>
                <w:szCs w:val="20"/>
              </w:rPr>
            </w:pPr>
            <w:proofErr w:type="spellStart"/>
            <w:r w:rsidRPr="0072606D">
              <w:rPr>
                <w:rFonts w:cstheme="minorHAnsi"/>
                <w:color w:val="000000"/>
                <w:sz w:val="20"/>
                <w:szCs w:val="20"/>
              </w:rPr>
              <w:t>Conditioning</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718F3DEE" w14:textId="77777777" w:rsidR="001B651F" w:rsidRPr="0072606D" w:rsidRDefault="001B651F" w:rsidP="00D33128">
            <w:pPr>
              <w:rPr>
                <w:rFonts w:cstheme="minorHAnsi"/>
                <w:color w:val="000000"/>
                <w:sz w:val="20"/>
                <w:szCs w:val="20"/>
              </w:rPr>
            </w:pPr>
            <w:r w:rsidRPr="0072606D">
              <w:rPr>
                <w:rFonts w:cstheme="minorHAnsi"/>
                <w:color w:val="000000"/>
                <w:sz w:val="20"/>
                <w:szCs w:val="20"/>
              </w:rPr>
              <w:t>MAC</w:t>
            </w:r>
          </w:p>
        </w:tc>
        <w:tc>
          <w:tcPr>
            <w:tcW w:w="2280" w:type="dxa"/>
            <w:tcBorders>
              <w:top w:val="nil"/>
              <w:left w:val="nil"/>
              <w:bottom w:val="nil"/>
              <w:right w:val="nil"/>
            </w:tcBorders>
            <w:shd w:val="clear" w:color="auto" w:fill="auto"/>
            <w:noWrap/>
            <w:vAlign w:val="bottom"/>
            <w:hideMark/>
          </w:tcPr>
          <w:p w14:paraId="1F47D29E"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289 (43.1%)</w:t>
            </w:r>
          </w:p>
        </w:tc>
      </w:tr>
      <w:tr w:rsidR="001B651F" w:rsidRPr="0072606D" w14:paraId="2AE0F011" w14:textId="77777777" w:rsidTr="00D33128">
        <w:trPr>
          <w:trHeight w:val="280"/>
        </w:trPr>
        <w:tc>
          <w:tcPr>
            <w:tcW w:w="2977" w:type="dxa"/>
            <w:tcBorders>
              <w:top w:val="nil"/>
              <w:left w:val="nil"/>
              <w:bottom w:val="nil"/>
              <w:right w:val="nil"/>
            </w:tcBorders>
            <w:shd w:val="clear" w:color="auto" w:fill="auto"/>
            <w:noWrap/>
            <w:vAlign w:val="bottom"/>
            <w:hideMark/>
          </w:tcPr>
          <w:p w14:paraId="227D54C1" w14:textId="77777777" w:rsidR="001B651F" w:rsidRPr="0072606D" w:rsidRDefault="001B651F" w:rsidP="00D33128">
            <w:pPr>
              <w:jc w:val="center"/>
              <w:rPr>
                <w:rFonts w:cstheme="minorHAnsi"/>
                <w:color w:val="000000"/>
                <w:sz w:val="20"/>
                <w:szCs w:val="20"/>
              </w:rPr>
            </w:pPr>
          </w:p>
        </w:tc>
        <w:tc>
          <w:tcPr>
            <w:tcW w:w="2603" w:type="dxa"/>
            <w:tcBorders>
              <w:top w:val="nil"/>
              <w:left w:val="nil"/>
              <w:bottom w:val="nil"/>
              <w:right w:val="nil"/>
            </w:tcBorders>
            <w:shd w:val="clear" w:color="auto" w:fill="auto"/>
            <w:noWrap/>
            <w:vAlign w:val="bottom"/>
            <w:hideMark/>
          </w:tcPr>
          <w:p w14:paraId="3D2934F9" w14:textId="77777777" w:rsidR="001B651F" w:rsidRPr="0072606D" w:rsidRDefault="001B651F" w:rsidP="00D33128">
            <w:pPr>
              <w:rPr>
                <w:rFonts w:cstheme="minorHAnsi"/>
                <w:color w:val="000000"/>
                <w:sz w:val="20"/>
                <w:szCs w:val="20"/>
              </w:rPr>
            </w:pPr>
            <w:r w:rsidRPr="0072606D">
              <w:rPr>
                <w:rFonts w:cstheme="minorHAnsi"/>
                <w:color w:val="000000"/>
                <w:sz w:val="20"/>
                <w:szCs w:val="20"/>
              </w:rPr>
              <w:t>RIC</w:t>
            </w:r>
          </w:p>
        </w:tc>
        <w:tc>
          <w:tcPr>
            <w:tcW w:w="2280" w:type="dxa"/>
            <w:tcBorders>
              <w:top w:val="nil"/>
              <w:left w:val="nil"/>
              <w:bottom w:val="nil"/>
              <w:right w:val="nil"/>
            </w:tcBorders>
            <w:shd w:val="clear" w:color="auto" w:fill="auto"/>
            <w:noWrap/>
            <w:vAlign w:val="bottom"/>
            <w:hideMark/>
          </w:tcPr>
          <w:p w14:paraId="70E20B85"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381 (56.9%)</w:t>
            </w:r>
          </w:p>
        </w:tc>
      </w:tr>
      <w:tr w:rsidR="001B651F" w:rsidRPr="0072606D" w14:paraId="714FA607" w14:textId="77777777" w:rsidTr="00D33128">
        <w:trPr>
          <w:trHeight w:val="280"/>
        </w:trPr>
        <w:tc>
          <w:tcPr>
            <w:tcW w:w="2977" w:type="dxa"/>
            <w:tcBorders>
              <w:top w:val="nil"/>
              <w:left w:val="nil"/>
              <w:bottom w:val="nil"/>
              <w:right w:val="nil"/>
            </w:tcBorders>
            <w:shd w:val="clear" w:color="auto" w:fill="auto"/>
            <w:noWrap/>
            <w:vAlign w:val="bottom"/>
            <w:hideMark/>
          </w:tcPr>
          <w:p w14:paraId="126694AB" w14:textId="77777777" w:rsidR="001B651F" w:rsidRPr="0072606D" w:rsidRDefault="001B651F" w:rsidP="00D33128">
            <w:pPr>
              <w:rPr>
                <w:rFonts w:cstheme="minorHAnsi"/>
                <w:color w:val="000000"/>
                <w:sz w:val="20"/>
                <w:szCs w:val="20"/>
              </w:rPr>
            </w:pPr>
            <w:r w:rsidRPr="0072606D">
              <w:rPr>
                <w:rFonts w:cstheme="minorHAnsi"/>
                <w:color w:val="000000"/>
                <w:sz w:val="20"/>
                <w:szCs w:val="20"/>
              </w:rPr>
              <w:t>In vivo T-</w:t>
            </w:r>
            <w:proofErr w:type="spellStart"/>
            <w:r w:rsidRPr="0072606D">
              <w:rPr>
                <w:rFonts w:cstheme="minorHAnsi"/>
                <w:color w:val="000000"/>
                <w:sz w:val="20"/>
                <w:szCs w:val="20"/>
              </w:rPr>
              <w:t>cell</w:t>
            </w:r>
            <w:proofErr w:type="spellEnd"/>
            <w:r w:rsidRPr="0072606D">
              <w:rPr>
                <w:rFonts w:cstheme="minorHAnsi"/>
                <w:color w:val="000000"/>
                <w:sz w:val="20"/>
                <w:szCs w:val="20"/>
              </w:rPr>
              <w:t xml:space="preserve"> </w:t>
            </w:r>
            <w:proofErr w:type="spellStart"/>
            <w:r w:rsidRPr="0072606D">
              <w:rPr>
                <w:rFonts w:cstheme="minorHAnsi"/>
                <w:color w:val="000000"/>
                <w:sz w:val="20"/>
                <w:szCs w:val="20"/>
              </w:rPr>
              <w:t>depletion</w:t>
            </w:r>
            <w:proofErr w:type="spellEnd"/>
            <w:r w:rsidRPr="0072606D">
              <w:rPr>
                <w:rFonts w:cstheme="minorHAnsi"/>
                <w:color w:val="000000"/>
                <w:sz w:val="20"/>
                <w:szCs w:val="20"/>
              </w:rPr>
              <w:t>; # (%)</w:t>
            </w:r>
          </w:p>
        </w:tc>
        <w:tc>
          <w:tcPr>
            <w:tcW w:w="2603" w:type="dxa"/>
            <w:tcBorders>
              <w:top w:val="nil"/>
              <w:left w:val="nil"/>
              <w:bottom w:val="nil"/>
              <w:right w:val="nil"/>
            </w:tcBorders>
            <w:shd w:val="clear" w:color="auto" w:fill="auto"/>
            <w:noWrap/>
            <w:vAlign w:val="bottom"/>
            <w:hideMark/>
          </w:tcPr>
          <w:p w14:paraId="04622B75" w14:textId="77777777" w:rsidR="001B651F" w:rsidRPr="0072606D" w:rsidRDefault="001B651F" w:rsidP="00D33128">
            <w:pPr>
              <w:rPr>
                <w:rFonts w:cstheme="minorHAnsi"/>
                <w:color w:val="000000"/>
                <w:sz w:val="20"/>
                <w:szCs w:val="20"/>
              </w:rPr>
            </w:pPr>
            <w:r w:rsidRPr="0072606D">
              <w:rPr>
                <w:rFonts w:cstheme="minorHAnsi"/>
                <w:color w:val="000000"/>
                <w:sz w:val="20"/>
                <w:szCs w:val="20"/>
              </w:rPr>
              <w:t>no in vivo TCD</w:t>
            </w:r>
          </w:p>
        </w:tc>
        <w:tc>
          <w:tcPr>
            <w:tcW w:w="2280" w:type="dxa"/>
            <w:tcBorders>
              <w:top w:val="nil"/>
              <w:left w:val="nil"/>
              <w:bottom w:val="nil"/>
              <w:right w:val="nil"/>
            </w:tcBorders>
            <w:shd w:val="clear" w:color="auto" w:fill="auto"/>
            <w:noWrap/>
            <w:vAlign w:val="bottom"/>
            <w:hideMark/>
          </w:tcPr>
          <w:p w14:paraId="4529D7FC"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585 (87.3%)</w:t>
            </w:r>
          </w:p>
        </w:tc>
      </w:tr>
      <w:tr w:rsidR="001B651F" w:rsidRPr="0072606D" w14:paraId="51D1F902" w14:textId="77777777" w:rsidTr="00D33128">
        <w:trPr>
          <w:trHeight w:val="280"/>
        </w:trPr>
        <w:tc>
          <w:tcPr>
            <w:tcW w:w="2977" w:type="dxa"/>
            <w:tcBorders>
              <w:top w:val="nil"/>
              <w:left w:val="nil"/>
              <w:bottom w:val="single" w:sz="4" w:space="0" w:color="auto"/>
              <w:right w:val="nil"/>
            </w:tcBorders>
            <w:shd w:val="clear" w:color="auto" w:fill="auto"/>
            <w:noWrap/>
            <w:vAlign w:val="bottom"/>
            <w:hideMark/>
          </w:tcPr>
          <w:p w14:paraId="17A13F53" w14:textId="77777777" w:rsidR="001B651F" w:rsidRPr="0072606D" w:rsidRDefault="001B651F" w:rsidP="00D33128">
            <w:pPr>
              <w:rPr>
                <w:rFonts w:cstheme="minorHAnsi"/>
                <w:color w:val="000000"/>
                <w:sz w:val="20"/>
                <w:szCs w:val="20"/>
              </w:rPr>
            </w:pPr>
            <w:r w:rsidRPr="0072606D">
              <w:rPr>
                <w:rFonts w:cstheme="minorHAnsi"/>
                <w:color w:val="000000"/>
                <w:sz w:val="20"/>
                <w:szCs w:val="20"/>
              </w:rPr>
              <w:t> </w:t>
            </w:r>
          </w:p>
        </w:tc>
        <w:tc>
          <w:tcPr>
            <w:tcW w:w="2603" w:type="dxa"/>
            <w:tcBorders>
              <w:top w:val="nil"/>
              <w:left w:val="nil"/>
              <w:bottom w:val="single" w:sz="4" w:space="0" w:color="auto"/>
              <w:right w:val="nil"/>
            </w:tcBorders>
            <w:shd w:val="clear" w:color="auto" w:fill="auto"/>
            <w:noWrap/>
            <w:vAlign w:val="bottom"/>
            <w:hideMark/>
          </w:tcPr>
          <w:p w14:paraId="20071278" w14:textId="77777777" w:rsidR="001B651F" w:rsidRPr="0072606D" w:rsidRDefault="001B651F" w:rsidP="00D33128">
            <w:pPr>
              <w:rPr>
                <w:rFonts w:cstheme="minorHAnsi"/>
                <w:color w:val="000000"/>
                <w:sz w:val="20"/>
                <w:szCs w:val="20"/>
              </w:rPr>
            </w:pPr>
            <w:r w:rsidRPr="0072606D">
              <w:rPr>
                <w:rFonts w:cstheme="minorHAnsi"/>
                <w:color w:val="000000"/>
                <w:sz w:val="20"/>
                <w:szCs w:val="20"/>
              </w:rPr>
              <w:t>in vivo TCD</w:t>
            </w:r>
          </w:p>
        </w:tc>
        <w:tc>
          <w:tcPr>
            <w:tcW w:w="2280" w:type="dxa"/>
            <w:tcBorders>
              <w:top w:val="nil"/>
              <w:left w:val="nil"/>
              <w:bottom w:val="single" w:sz="4" w:space="0" w:color="auto"/>
              <w:right w:val="nil"/>
            </w:tcBorders>
            <w:shd w:val="clear" w:color="auto" w:fill="auto"/>
            <w:noWrap/>
            <w:vAlign w:val="bottom"/>
            <w:hideMark/>
          </w:tcPr>
          <w:p w14:paraId="4A5C4BBA" w14:textId="77777777" w:rsidR="001B651F" w:rsidRPr="0072606D" w:rsidRDefault="001B651F" w:rsidP="00D33128">
            <w:pPr>
              <w:jc w:val="center"/>
              <w:rPr>
                <w:rFonts w:cstheme="minorHAnsi"/>
                <w:color w:val="000000"/>
                <w:sz w:val="20"/>
                <w:szCs w:val="20"/>
              </w:rPr>
            </w:pPr>
            <w:r w:rsidRPr="0072606D">
              <w:rPr>
                <w:rFonts w:cstheme="minorHAnsi"/>
                <w:color w:val="000000"/>
                <w:sz w:val="20"/>
                <w:szCs w:val="20"/>
              </w:rPr>
              <w:t>85 (12.7%)</w:t>
            </w:r>
          </w:p>
        </w:tc>
      </w:tr>
    </w:tbl>
    <w:p w14:paraId="7F4AA4C7" w14:textId="2E1BD7B6" w:rsidR="001B651F" w:rsidRPr="00C67788" w:rsidRDefault="001B651F" w:rsidP="001B651F">
      <w:pPr>
        <w:jc w:val="both"/>
        <w:rPr>
          <w:rFonts w:cstheme="minorHAnsi"/>
          <w:sz w:val="20"/>
          <w:szCs w:val="20"/>
          <w:lang w:val="en-US"/>
        </w:rPr>
      </w:pPr>
      <w:proofErr w:type="spellStart"/>
      <w:r w:rsidRPr="00C67788">
        <w:rPr>
          <w:rFonts w:cstheme="minorHAnsi"/>
          <w:sz w:val="20"/>
          <w:szCs w:val="20"/>
          <w:lang w:val="en-US"/>
        </w:rPr>
        <w:t>mo</w:t>
      </w:r>
      <w:proofErr w:type="spellEnd"/>
      <w:r w:rsidRPr="00C67788">
        <w:rPr>
          <w:rFonts w:cstheme="minorHAnsi"/>
          <w:sz w:val="20"/>
          <w:szCs w:val="20"/>
          <w:lang w:val="en-US"/>
        </w:rPr>
        <w:t xml:space="preserve">, months; P </w:t>
      </w:r>
      <w:proofErr w:type="spellStart"/>
      <w:r w:rsidRPr="00C67788">
        <w:rPr>
          <w:rFonts w:cstheme="minorHAnsi"/>
          <w:sz w:val="20"/>
          <w:szCs w:val="20"/>
          <w:lang w:val="en-US"/>
        </w:rPr>
        <w:t>refr</w:t>
      </w:r>
      <w:proofErr w:type="spellEnd"/>
      <w:r w:rsidRPr="00C67788">
        <w:rPr>
          <w:rFonts w:cstheme="minorHAnsi"/>
          <w:sz w:val="20"/>
          <w:szCs w:val="20"/>
          <w:lang w:val="en-US"/>
        </w:rPr>
        <w:t>, primary refractory; Rel1, first relapse; Rel2+, second or more advanced relapse; BM, bone marrow; PBSC, peripheral blood stem cells; HCT-CI, hematopoietic cell transplant-specific comorbidity index</w:t>
      </w:r>
      <w:r w:rsidRPr="00C67788">
        <w:rPr>
          <w:rFonts w:cstheme="minorHAnsi"/>
          <w:sz w:val="20"/>
          <w:szCs w:val="20"/>
          <w:lang w:val="en-US"/>
        </w:rPr>
        <w:fldChar w:fldCharType="begin"/>
      </w:r>
      <w:r w:rsidR="00DE0AE9" w:rsidRPr="00C67788">
        <w:rPr>
          <w:rFonts w:cstheme="minorHAnsi"/>
          <w:sz w:val="20"/>
          <w:szCs w:val="20"/>
          <w:lang w:val="en-US"/>
        </w:rPr>
        <w:instrText xml:space="preserve"> ADDIN ZOTERO_ITEM CSL_CITATION {"citationID":"qqW1FDmY","properties":{"formattedCitation":"\\super 4\\nosupersub{}","plainCitation":"4","noteIndex":0},"citationItems":[{"id":215,"uris":["http://zotero.org/users/6580195/items/IKZYMWY2"],"itemData":{"id":215,"type":"article-journal","abstract":"We previously reported that the Charlson Comorbidity Index (CCI) was useful for predicting outcomes in patients undergoing allogeneic hematopoietic cell transplantation (HCT). However, the sample size of patients with scores of 1 or more, captured by the CCI, did not exceed 35%. Further, some comorbidities were rarely found among patients who underwent HCT. Therefore, the current study was designed to (1) better define previously identified comorbidities using pretransplant laboratory data, (2) investigate additional HCT-related comorbidities, and (3) establish comorbidity scores that were suited for HCT. Data were collected from 1055 patients, and then randomly divided into training and validation sets. Weights were assigned to individual comorbidities according  to their prognostic significance in Cox proportional hazard models. The new index was then validated. The new index proved to be more sensitive than the CCI since  it captured 62% of patients with scores more than 0 compared with 12%, respectively. Further, the new index showed better survival prediction than the CCI (likelihood ratio of 23.7 versus 7.1 and c statistics of 0.661 versus 0.561,  respectively, P &lt; .001). In conclusion, the new simple index provided valid and reliable scoring of pretransplant comorbidities that predicted nonrelapse mortality and survival. This index will be useful for clinical trials and patient counseling before HCT.","container-title":"Blood","DOI":"10.1182/blood-2005-05-2004","ISSN":"0006-4971 0006-4971","issue":"8","journalAbbreviation":"Blood","language":"eng","note":"publisher-place: United States\nPMID: 15994282 \nPMCID: PMC1895304","page":"2912-2919","title":"Hematopoietic cell transplantation (HCT)-specific comorbidity index: a new tool for risk assessment before allogeneic HCT.","volume":"106","author":[{"family":"Sorror","given":"Mohamed L."},{"family":"Maris","given":"Michael B."},{"family":"Storb","given":"Rainer"},{"family":"Baron","given":"Frederic"},{"family":"Sandmaier","given":"Brenda M."},{"family":"Maloney","given":"David G."},{"family":"Storer","given":"Barry"}],"issued":{"date-parts":[["2005",10,15]]}}}],"schema":"https://github.com/citation-style-language/schema/raw/master/csl-citation.json"} </w:instrText>
      </w:r>
      <w:r w:rsidRPr="00C67788">
        <w:rPr>
          <w:rFonts w:cstheme="minorHAnsi"/>
          <w:sz w:val="20"/>
          <w:szCs w:val="20"/>
          <w:lang w:val="en-US"/>
        </w:rPr>
        <w:fldChar w:fldCharType="separate"/>
      </w:r>
      <w:r w:rsidR="00DE0AE9" w:rsidRPr="00C67788">
        <w:rPr>
          <w:rFonts w:ascii="Calibri" w:cs="Calibri"/>
          <w:sz w:val="20"/>
          <w:szCs w:val="20"/>
          <w:vertAlign w:val="superscript"/>
          <w:lang w:val="en-US"/>
        </w:rPr>
        <w:t>4</w:t>
      </w:r>
      <w:r w:rsidRPr="00C67788">
        <w:rPr>
          <w:rFonts w:cstheme="minorHAnsi"/>
          <w:sz w:val="20"/>
          <w:szCs w:val="20"/>
          <w:lang w:val="en-US"/>
        </w:rPr>
        <w:fldChar w:fldCharType="end"/>
      </w:r>
      <w:r w:rsidRPr="00C67788">
        <w:rPr>
          <w:rFonts w:cstheme="minorHAnsi"/>
          <w:sz w:val="20"/>
          <w:szCs w:val="20"/>
          <w:lang w:val="en-US"/>
        </w:rPr>
        <w:t xml:space="preserve">; CMV, cytomegalovirus; MAC, myeloablative conditioning; </w:t>
      </w:r>
      <w:r w:rsidRPr="00C67788">
        <w:rPr>
          <w:rFonts w:cstheme="minorHAnsi"/>
          <w:color w:val="000000" w:themeColor="text1"/>
          <w:sz w:val="20"/>
          <w:szCs w:val="20"/>
          <w:lang w:val="en-US"/>
        </w:rPr>
        <w:t>RIC, reduced-intensity conditioning; F, female; M, male; in vivo TCT, in vivo T-cell depletion.</w:t>
      </w:r>
    </w:p>
    <w:p w14:paraId="6DA06B70" w14:textId="1987EC34" w:rsidR="001B651F" w:rsidRDefault="00C67788" w:rsidP="001B651F">
      <w:pPr>
        <w:spacing w:line="480" w:lineRule="auto"/>
        <w:jc w:val="both"/>
        <w:rPr>
          <w:rFonts w:cstheme="minorHAnsi"/>
          <w:lang w:val="en-US"/>
        </w:rPr>
      </w:pPr>
      <w:r w:rsidRPr="0072606D">
        <w:rPr>
          <w:rFonts w:cstheme="minorHAnsi"/>
          <w:b/>
          <w:lang w:val="en-GB"/>
        </w:rPr>
        <w:lastRenderedPageBreak/>
        <w:t xml:space="preserve">Supplemental Table </w:t>
      </w:r>
      <w:r>
        <w:rPr>
          <w:rFonts w:cstheme="minorHAnsi"/>
          <w:b/>
          <w:lang w:val="en-GB"/>
        </w:rPr>
        <w:t>2</w:t>
      </w:r>
      <w:r w:rsidRPr="0072606D">
        <w:rPr>
          <w:rFonts w:cstheme="minorHAnsi"/>
          <w:b/>
          <w:lang w:val="en-GB"/>
        </w:rPr>
        <w:t>.</w:t>
      </w:r>
      <w:r>
        <w:rPr>
          <w:rFonts w:cstheme="minorHAnsi"/>
          <w:b/>
          <w:lang w:val="en-GB"/>
        </w:rPr>
        <w:t xml:space="preserve"> </w:t>
      </w:r>
      <w:r w:rsidRPr="00440DDE">
        <w:rPr>
          <w:lang w:val="en-US"/>
        </w:rPr>
        <w:t xml:space="preserve">Final model stratified on landmark at time intervals from day of </w:t>
      </w:r>
      <w:proofErr w:type="spellStart"/>
      <w:r w:rsidRPr="00440DDE">
        <w:rPr>
          <w:lang w:val="en-US"/>
        </w:rPr>
        <w:t>allo</w:t>
      </w:r>
      <w:proofErr w:type="spellEnd"/>
      <w:r w:rsidRPr="00440DDE">
        <w:rPr>
          <w:lang w:val="en-US"/>
        </w:rPr>
        <w:t>-HCT to day + 360 by 30 days</w:t>
      </w:r>
      <w:r>
        <w:rPr>
          <w:lang w:val="en-US"/>
        </w:rPr>
        <w:t xml:space="preserve"> excluding patients given </w:t>
      </w:r>
      <w:r w:rsidRPr="00C67788">
        <w:rPr>
          <w:i/>
          <w:iCs/>
          <w:lang w:val="en-US"/>
        </w:rPr>
        <w:t>in vivo</w:t>
      </w:r>
      <w:r>
        <w:rPr>
          <w:lang w:val="en-US"/>
        </w:rPr>
        <w:t xml:space="preserve"> T-cell depletion (</w:t>
      </w:r>
      <w:proofErr w:type="gramStart"/>
      <w:r>
        <w:rPr>
          <w:lang w:val="en-US"/>
        </w:rPr>
        <w:t>i.e.</w:t>
      </w:r>
      <w:proofErr w:type="gramEnd"/>
      <w:r>
        <w:rPr>
          <w:lang w:val="en-US"/>
        </w:rPr>
        <w:t xml:space="preserve"> ATG)</w:t>
      </w:r>
      <w:r w:rsidRPr="00440DDE">
        <w:rPr>
          <w:lang w:val="en-US"/>
        </w:rPr>
        <w:t>.</w:t>
      </w:r>
    </w:p>
    <w:p w14:paraId="7456D80C" w14:textId="42AB2D09" w:rsidR="00D35FCC" w:rsidRDefault="00D35FCC" w:rsidP="001B651F">
      <w:pPr>
        <w:spacing w:line="480" w:lineRule="auto"/>
        <w:jc w:val="both"/>
        <w:rPr>
          <w:rFonts w:cstheme="minorHAnsi"/>
          <w:lang w:val="en-US"/>
        </w:rPr>
      </w:pPr>
    </w:p>
    <w:tbl>
      <w:tblPr>
        <w:tblW w:w="8280" w:type="dxa"/>
        <w:tblCellMar>
          <w:left w:w="70" w:type="dxa"/>
          <w:right w:w="70" w:type="dxa"/>
        </w:tblCellMar>
        <w:tblLook w:val="04A0" w:firstRow="1" w:lastRow="0" w:firstColumn="1" w:lastColumn="0" w:noHBand="0" w:noVBand="1"/>
      </w:tblPr>
      <w:tblGrid>
        <w:gridCol w:w="1320"/>
        <w:gridCol w:w="1100"/>
        <w:gridCol w:w="640"/>
        <w:gridCol w:w="1100"/>
        <w:gridCol w:w="640"/>
        <w:gridCol w:w="1100"/>
        <w:gridCol w:w="640"/>
        <w:gridCol w:w="1100"/>
        <w:gridCol w:w="640"/>
      </w:tblGrid>
      <w:tr w:rsidR="00C67788" w:rsidRPr="00C67788" w14:paraId="6F9D351F" w14:textId="77777777" w:rsidTr="00C67788">
        <w:trPr>
          <w:trHeight w:val="320"/>
        </w:trPr>
        <w:tc>
          <w:tcPr>
            <w:tcW w:w="1320" w:type="dxa"/>
            <w:tcBorders>
              <w:top w:val="nil"/>
              <w:left w:val="nil"/>
              <w:bottom w:val="nil"/>
              <w:right w:val="nil"/>
            </w:tcBorders>
            <w:shd w:val="clear" w:color="auto" w:fill="auto"/>
            <w:noWrap/>
            <w:vAlign w:val="bottom"/>
            <w:hideMark/>
          </w:tcPr>
          <w:p w14:paraId="6AA5029A" w14:textId="77777777" w:rsidR="00C67788" w:rsidRPr="00C67788" w:rsidRDefault="00C67788" w:rsidP="00C67788">
            <w:pPr>
              <w:rPr>
                <w:rFonts w:ascii="Times New Roman" w:eastAsia="Times New Roman" w:hAnsi="Times New Roman" w:cs="Times New Roman"/>
                <w:lang w:val="en-US" w:eastAsia="fr-FR"/>
              </w:rPr>
            </w:pPr>
          </w:p>
        </w:tc>
        <w:tc>
          <w:tcPr>
            <w:tcW w:w="1100" w:type="dxa"/>
            <w:tcBorders>
              <w:top w:val="nil"/>
              <w:left w:val="nil"/>
              <w:bottom w:val="nil"/>
              <w:right w:val="nil"/>
            </w:tcBorders>
            <w:shd w:val="clear" w:color="auto" w:fill="auto"/>
            <w:noWrap/>
            <w:vAlign w:val="bottom"/>
            <w:hideMark/>
          </w:tcPr>
          <w:p w14:paraId="5761C741"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640" w:type="dxa"/>
            <w:tcBorders>
              <w:top w:val="nil"/>
              <w:left w:val="nil"/>
              <w:bottom w:val="nil"/>
              <w:right w:val="nil"/>
            </w:tcBorders>
            <w:shd w:val="clear" w:color="auto" w:fill="auto"/>
            <w:noWrap/>
            <w:vAlign w:val="bottom"/>
            <w:hideMark/>
          </w:tcPr>
          <w:p w14:paraId="5D25E560"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1100" w:type="dxa"/>
            <w:tcBorders>
              <w:top w:val="nil"/>
              <w:left w:val="nil"/>
              <w:bottom w:val="nil"/>
              <w:right w:val="nil"/>
            </w:tcBorders>
            <w:shd w:val="clear" w:color="auto" w:fill="auto"/>
            <w:noWrap/>
            <w:vAlign w:val="bottom"/>
            <w:hideMark/>
          </w:tcPr>
          <w:p w14:paraId="11DD68C6"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640" w:type="dxa"/>
            <w:tcBorders>
              <w:top w:val="nil"/>
              <w:left w:val="nil"/>
              <w:bottom w:val="nil"/>
              <w:right w:val="nil"/>
            </w:tcBorders>
            <w:shd w:val="clear" w:color="auto" w:fill="auto"/>
            <w:noWrap/>
            <w:vAlign w:val="bottom"/>
            <w:hideMark/>
          </w:tcPr>
          <w:p w14:paraId="76091FAF"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1100" w:type="dxa"/>
            <w:tcBorders>
              <w:top w:val="nil"/>
              <w:left w:val="nil"/>
              <w:bottom w:val="nil"/>
              <w:right w:val="nil"/>
            </w:tcBorders>
            <w:shd w:val="clear" w:color="auto" w:fill="auto"/>
            <w:noWrap/>
            <w:vAlign w:val="bottom"/>
            <w:hideMark/>
          </w:tcPr>
          <w:p w14:paraId="57117FC6"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640" w:type="dxa"/>
            <w:tcBorders>
              <w:top w:val="nil"/>
              <w:left w:val="nil"/>
              <w:bottom w:val="nil"/>
              <w:right w:val="nil"/>
            </w:tcBorders>
            <w:shd w:val="clear" w:color="auto" w:fill="auto"/>
            <w:noWrap/>
            <w:vAlign w:val="bottom"/>
            <w:hideMark/>
          </w:tcPr>
          <w:p w14:paraId="555FAADE"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1100" w:type="dxa"/>
            <w:tcBorders>
              <w:top w:val="nil"/>
              <w:left w:val="nil"/>
              <w:bottom w:val="nil"/>
              <w:right w:val="nil"/>
            </w:tcBorders>
            <w:shd w:val="clear" w:color="auto" w:fill="auto"/>
            <w:noWrap/>
            <w:vAlign w:val="bottom"/>
            <w:hideMark/>
          </w:tcPr>
          <w:p w14:paraId="522ADB9E"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640" w:type="dxa"/>
            <w:tcBorders>
              <w:top w:val="nil"/>
              <w:left w:val="nil"/>
              <w:bottom w:val="nil"/>
              <w:right w:val="nil"/>
            </w:tcBorders>
            <w:shd w:val="clear" w:color="auto" w:fill="auto"/>
            <w:noWrap/>
            <w:vAlign w:val="bottom"/>
            <w:hideMark/>
          </w:tcPr>
          <w:p w14:paraId="5138157D" w14:textId="77777777" w:rsidR="00C67788" w:rsidRPr="00C67788" w:rsidRDefault="00C67788" w:rsidP="00C67788">
            <w:pPr>
              <w:rPr>
                <w:rFonts w:ascii="Times New Roman" w:eastAsia="Times New Roman" w:hAnsi="Times New Roman" w:cs="Times New Roman"/>
                <w:sz w:val="20"/>
                <w:szCs w:val="20"/>
                <w:lang w:val="en-US" w:eastAsia="fr-FR"/>
              </w:rPr>
            </w:pPr>
          </w:p>
        </w:tc>
      </w:tr>
      <w:tr w:rsidR="00C67788" w:rsidRPr="00C67788" w14:paraId="513739D3" w14:textId="77777777" w:rsidTr="00C67788">
        <w:trPr>
          <w:trHeight w:val="320"/>
        </w:trPr>
        <w:tc>
          <w:tcPr>
            <w:tcW w:w="1320" w:type="dxa"/>
            <w:tcBorders>
              <w:top w:val="nil"/>
              <w:left w:val="nil"/>
              <w:bottom w:val="nil"/>
              <w:right w:val="nil"/>
            </w:tcBorders>
            <w:shd w:val="clear" w:color="auto" w:fill="auto"/>
            <w:noWrap/>
            <w:vAlign w:val="bottom"/>
            <w:hideMark/>
          </w:tcPr>
          <w:p w14:paraId="7D0BE8DC" w14:textId="77777777" w:rsidR="00C67788" w:rsidRPr="00C67788" w:rsidRDefault="00C67788" w:rsidP="00C67788">
            <w:pPr>
              <w:rPr>
                <w:rFonts w:ascii="Times New Roman" w:eastAsia="Times New Roman" w:hAnsi="Times New Roman" w:cs="Times New Roman"/>
                <w:sz w:val="20"/>
                <w:szCs w:val="20"/>
                <w:lang w:val="en-US" w:eastAsia="fr-FR"/>
              </w:rPr>
            </w:pPr>
          </w:p>
        </w:tc>
        <w:tc>
          <w:tcPr>
            <w:tcW w:w="174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F130D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RI</w:t>
            </w:r>
          </w:p>
        </w:tc>
        <w:tc>
          <w:tcPr>
            <w:tcW w:w="1740" w:type="dxa"/>
            <w:gridSpan w:val="2"/>
            <w:tcBorders>
              <w:top w:val="single" w:sz="8" w:space="0" w:color="auto"/>
              <w:left w:val="nil"/>
              <w:bottom w:val="single" w:sz="8" w:space="0" w:color="auto"/>
              <w:right w:val="single" w:sz="8" w:space="0" w:color="auto"/>
            </w:tcBorders>
            <w:shd w:val="clear" w:color="auto" w:fill="auto"/>
            <w:noWrap/>
            <w:vAlign w:val="bottom"/>
            <w:hideMark/>
          </w:tcPr>
          <w:p w14:paraId="5BEB77C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NRM</w:t>
            </w:r>
          </w:p>
        </w:tc>
        <w:tc>
          <w:tcPr>
            <w:tcW w:w="1740" w:type="dxa"/>
            <w:gridSpan w:val="2"/>
            <w:tcBorders>
              <w:top w:val="single" w:sz="8" w:space="0" w:color="auto"/>
              <w:left w:val="nil"/>
              <w:bottom w:val="single" w:sz="8" w:space="0" w:color="auto"/>
              <w:right w:val="single" w:sz="8" w:space="0" w:color="auto"/>
            </w:tcBorders>
            <w:shd w:val="clear" w:color="auto" w:fill="auto"/>
            <w:noWrap/>
            <w:vAlign w:val="bottom"/>
            <w:hideMark/>
          </w:tcPr>
          <w:p w14:paraId="735E042C"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LFS</w:t>
            </w:r>
          </w:p>
        </w:tc>
        <w:tc>
          <w:tcPr>
            <w:tcW w:w="1740" w:type="dxa"/>
            <w:gridSpan w:val="2"/>
            <w:tcBorders>
              <w:top w:val="single" w:sz="8" w:space="0" w:color="auto"/>
              <w:left w:val="nil"/>
              <w:bottom w:val="single" w:sz="8" w:space="0" w:color="auto"/>
              <w:right w:val="single" w:sz="8" w:space="0" w:color="auto"/>
            </w:tcBorders>
            <w:shd w:val="clear" w:color="auto" w:fill="auto"/>
            <w:noWrap/>
            <w:vAlign w:val="bottom"/>
            <w:hideMark/>
          </w:tcPr>
          <w:p w14:paraId="78D2FCC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OS</w:t>
            </w:r>
          </w:p>
        </w:tc>
      </w:tr>
      <w:tr w:rsidR="00C67788" w:rsidRPr="00C67788" w14:paraId="1FE533C9" w14:textId="77777777" w:rsidTr="00C67788">
        <w:trPr>
          <w:trHeight w:val="300"/>
        </w:trPr>
        <w:tc>
          <w:tcPr>
            <w:tcW w:w="1320" w:type="dxa"/>
            <w:tcBorders>
              <w:top w:val="nil"/>
              <w:left w:val="nil"/>
              <w:bottom w:val="nil"/>
              <w:right w:val="nil"/>
            </w:tcBorders>
            <w:shd w:val="clear" w:color="auto" w:fill="auto"/>
            <w:noWrap/>
            <w:vAlign w:val="bottom"/>
            <w:hideMark/>
          </w:tcPr>
          <w:p w14:paraId="4EB23908" w14:textId="77777777" w:rsidR="00C67788" w:rsidRPr="00C67788" w:rsidRDefault="00C67788" w:rsidP="00C67788">
            <w:pPr>
              <w:jc w:val="center"/>
              <w:rPr>
                <w:rFonts w:ascii="Calibri" w:eastAsia="Times New Roman" w:hAnsi="Calibri" w:cs="Calibri"/>
                <w:color w:val="000000"/>
                <w:sz w:val="14"/>
                <w:szCs w:val="14"/>
                <w:lang w:eastAsia="fr-FR"/>
              </w:rPr>
            </w:pPr>
          </w:p>
        </w:tc>
        <w:tc>
          <w:tcPr>
            <w:tcW w:w="1100" w:type="dxa"/>
            <w:tcBorders>
              <w:top w:val="nil"/>
              <w:left w:val="single" w:sz="8" w:space="0" w:color="auto"/>
              <w:bottom w:val="nil"/>
              <w:right w:val="single" w:sz="8" w:space="0" w:color="auto"/>
            </w:tcBorders>
            <w:shd w:val="clear" w:color="auto" w:fill="auto"/>
            <w:noWrap/>
            <w:vAlign w:val="bottom"/>
            <w:hideMark/>
          </w:tcPr>
          <w:p w14:paraId="2642B88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HR</w:t>
            </w:r>
          </w:p>
        </w:tc>
        <w:tc>
          <w:tcPr>
            <w:tcW w:w="640" w:type="dxa"/>
            <w:tcBorders>
              <w:top w:val="nil"/>
              <w:left w:val="nil"/>
              <w:bottom w:val="nil"/>
              <w:right w:val="single" w:sz="8" w:space="0" w:color="auto"/>
            </w:tcBorders>
            <w:shd w:val="clear" w:color="auto" w:fill="auto"/>
            <w:noWrap/>
            <w:vAlign w:val="bottom"/>
            <w:hideMark/>
          </w:tcPr>
          <w:p w14:paraId="68ADFDF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w:t>
            </w:r>
          </w:p>
        </w:tc>
        <w:tc>
          <w:tcPr>
            <w:tcW w:w="1100" w:type="dxa"/>
            <w:tcBorders>
              <w:top w:val="nil"/>
              <w:left w:val="nil"/>
              <w:bottom w:val="nil"/>
              <w:right w:val="single" w:sz="8" w:space="0" w:color="auto"/>
            </w:tcBorders>
            <w:shd w:val="clear" w:color="auto" w:fill="auto"/>
            <w:noWrap/>
            <w:vAlign w:val="bottom"/>
            <w:hideMark/>
          </w:tcPr>
          <w:p w14:paraId="75F4CE4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HR</w:t>
            </w:r>
          </w:p>
        </w:tc>
        <w:tc>
          <w:tcPr>
            <w:tcW w:w="640" w:type="dxa"/>
            <w:tcBorders>
              <w:top w:val="nil"/>
              <w:left w:val="nil"/>
              <w:bottom w:val="nil"/>
              <w:right w:val="single" w:sz="8" w:space="0" w:color="auto"/>
            </w:tcBorders>
            <w:shd w:val="clear" w:color="auto" w:fill="auto"/>
            <w:noWrap/>
            <w:vAlign w:val="bottom"/>
            <w:hideMark/>
          </w:tcPr>
          <w:p w14:paraId="4B9AB36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w:t>
            </w:r>
          </w:p>
        </w:tc>
        <w:tc>
          <w:tcPr>
            <w:tcW w:w="1100" w:type="dxa"/>
            <w:tcBorders>
              <w:top w:val="nil"/>
              <w:left w:val="nil"/>
              <w:bottom w:val="nil"/>
              <w:right w:val="single" w:sz="8" w:space="0" w:color="auto"/>
            </w:tcBorders>
            <w:shd w:val="clear" w:color="auto" w:fill="auto"/>
            <w:noWrap/>
            <w:vAlign w:val="bottom"/>
            <w:hideMark/>
          </w:tcPr>
          <w:p w14:paraId="08E0DA5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HR</w:t>
            </w:r>
          </w:p>
        </w:tc>
        <w:tc>
          <w:tcPr>
            <w:tcW w:w="640" w:type="dxa"/>
            <w:tcBorders>
              <w:top w:val="nil"/>
              <w:left w:val="nil"/>
              <w:bottom w:val="nil"/>
              <w:right w:val="single" w:sz="8" w:space="0" w:color="auto"/>
            </w:tcBorders>
            <w:shd w:val="clear" w:color="auto" w:fill="auto"/>
            <w:noWrap/>
            <w:vAlign w:val="bottom"/>
            <w:hideMark/>
          </w:tcPr>
          <w:p w14:paraId="35245135"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w:t>
            </w:r>
          </w:p>
        </w:tc>
        <w:tc>
          <w:tcPr>
            <w:tcW w:w="1100" w:type="dxa"/>
            <w:tcBorders>
              <w:top w:val="nil"/>
              <w:left w:val="nil"/>
              <w:bottom w:val="nil"/>
              <w:right w:val="single" w:sz="8" w:space="0" w:color="auto"/>
            </w:tcBorders>
            <w:shd w:val="clear" w:color="auto" w:fill="auto"/>
            <w:noWrap/>
            <w:vAlign w:val="bottom"/>
            <w:hideMark/>
          </w:tcPr>
          <w:p w14:paraId="4D4C3ACA"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HR</w:t>
            </w:r>
          </w:p>
        </w:tc>
        <w:tc>
          <w:tcPr>
            <w:tcW w:w="640" w:type="dxa"/>
            <w:tcBorders>
              <w:top w:val="nil"/>
              <w:left w:val="nil"/>
              <w:bottom w:val="nil"/>
              <w:right w:val="single" w:sz="8" w:space="0" w:color="auto"/>
            </w:tcBorders>
            <w:shd w:val="clear" w:color="auto" w:fill="auto"/>
            <w:noWrap/>
            <w:vAlign w:val="bottom"/>
            <w:hideMark/>
          </w:tcPr>
          <w:p w14:paraId="00783DB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w:t>
            </w:r>
          </w:p>
        </w:tc>
      </w:tr>
      <w:tr w:rsidR="00C67788" w:rsidRPr="00C67788" w14:paraId="5B64BBA7" w14:textId="77777777" w:rsidTr="00C67788">
        <w:trPr>
          <w:trHeight w:val="300"/>
        </w:trPr>
        <w:tc>
          <w:tcPr>
            <w:tcW w:w="1320" w:type="dxa"/>
            <w:tcBorders>
              <w:top w:val="single" w:sz="4" w:space="0" w:color="auto"/>
              <w:left w:val="single" w:sz="4" w:space="0" w:color="auto"/>
              <w:bottom w:val="nil"/>
              <w:right w:val="single" w:sz="4" w:space="0" w:color="auto"/>
            </w:tcBorders>
            <w:shd w:val="clear" w:color="auto" w:fill="auto"/>
            <w:noWrap/>
            <w:vAlign w:val="bottom"/>
            <w:hideMark/>
          </w:tcPr>
          <w:p w14:paraId="37005B5F" w14:textId="77777777" w:rsidR="00C67788" w:rsidRPr="00C67788" w:rsidRDefault="00C67788" w:rsidP="00C67788">
            <w:pP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acute GVHD II</w:t>
            </w:r>
          </w:p>
        </w:tc>
        <w:tc>
          <w:tcPr>
            <w:tcW w:w="1100" w:type="dxa"/>
            <w:tcBorders>
              <w:top w:val="single" w:sz="4" w:space="0" w:color="auto"/>
              <w:left w:val="nil"/>
              <w:bottom w:val="nil"/>
              <w:right w:val="single" w:sz="4" w:space="0" w:color="auto"/>
            </w:tcBorders>
            <w:shd w:val="clear" w:color="auto" w:fill="auto"/>
            <w:noWrap/>
            <w:vAlign w:val="bottom"/>
            <w:hideMark/>
          </w:tcPr>
          <w:p w14:paraId="23BE1714"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0.94 (0.61-1.45)</w:t>
            </w:r>
          </w:p>
        </w:tc>
        <w:tc>
          <w:tcPr>
            <w:tcW w:w="640" w:type="dxa"/>
            <w:tcBorders>
              <w:top w:val="single" w:sz="4" w:space="0" w:color="auto"/>
              <w:left w:val="nil"/>
              <w:bottom w:val="nil"/>
              <w:right w:val="single" w:sz="4" w:space="0" w:color="auto"/>
            </w:tcBorders>
            <w:shd w:val="clear" w:color="auto" w:fill="auto"/>
            <w:noWrap/>
            <w:vAlign w:val="bottom"/>
            <w:hideMark/>
          </w:tcPr>
          <w:p w14:paraId="4E88280A"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0.78</w:t>
            </w:r>
          </w:p>
        </w:tc>
        <w:tc>
          <w:tcPr>
            <w:tcW w:w="1100" w:type="dxa"/>
            <w:tcBorders>
              <w:top w:val="single" w:sz="4" w:space="0" w:color="auto"/>
              <w:left w:val="nil"/>
              <w:bottom w:val="nil"/>
              <w:right w:val="single" w:sz="4" w:space="0" w:color="auto"/>
            </w:tcBorders>
            <w:shd w:val="clear" w:color="auto" w:fill="auto"/>
            <w:noWrap/>
            <w:vAlign w:val="bottom"/>
            <w:hideMark/>
          </w:tcPr>
          <w:p w14:paraId="5874F64D"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0.91 (0.46-1.82)</w:t>
            </w:r>
          </w:p>
        </w:tc>
        <w:tc>
          <w:tcPr>
            <w:tcW w:w="640" w:type="dxa"/>
            <w:tcBorders>
              <w:top w:val="single" w:sz="4" w:space="0" w:color="auto"/>
              <w:left w:val="nil"/>
              <w:bottom w:val="nil"/>
              <w:right w:val="single" w:sz="4" w:space="0" w:color="auto"/>
            </w:tcBorders>
            <w:shd w:val="clear" w:color="auto" w:fill="auto"/>
            <w:noWrap/>
            <w:vAlign w:val="bottom"/>
            <w:hideMark/>
          </w:tcPr>
          <w:p w14:paraId="1A19CCAE"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0.8</w:t>
            </w:r>
          </w:p>
        </w:tc>
        <w:tc>
          <w:tcPr>
            <w:tcW w:w="1100" w:type="dxa"/>
            <w:tcBorders>
              <w:top w:val="single" w:sz="4" w:space="0" w:color="auto"/>
              <w:left w:val="nil"/>
              <w:bottom w:val="nil"/>
              <w:right w:val="single" w:sz="4" w:space="0" w:color="auto"/>
            </w:tcBorders>
            <w:shd w:val="clear" w:color="auto" w:fill="auto"/>
            <w:noWrap/>
            <w:vAlign w:val="bottom"/>
            <w:hideMark/>
          </w:tcPr>
          <w:p w14:paraId="6ACDE77B"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0.94 (0.65-1.36)</w:t>
            </w:r>
          </w:p>
        </w:tc>
        <w:tc>
          <w:tcPr>
            <w:tcW w:w="640" w:type="dxa"/>
            <w:tcBorders>
              <w:top w:val="single" w:sz="4" w:space="0" w:color="auto"/>
              <w:left w:val="nil"/>
              <w:bottom w:val="nil"/>
              <w:right w:val="single" w:sz="4" w:space="0" w:color="auto"/>
            </w:tcBorders>
            <w:shd w:val="clear" w:color="auto" w:fill="auto"/>
            <w:noWrap/>
            <w:vAlign w:val="bottom"/>
            <w:hideMark/>
          </w:tcPr>
          <w:p w14:paraId="78364354"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0.75</w:t>
            </w:r>
          </w:p>
        </w:tc>
        <w:tc>
          <w:tcPr>
            <w:tcW w:w="1100" w:type="dxa"/>
            <w:tcBorders>
              <w:top w:val="single" w:sz="4" w:space="0" w:color="auto"/>
              <w:left w:val="nil"/>
              <w:bottom w:val="nil"/>
              <w:right w:val="single" w:sz="4" w:space="0" w:color="auto"/>
            </w:tcBorders>
            <w:shd w:val="clear" w:color="auto" w:fill="auto"/>
            <w:noWrap/>
            <w:vAlign w:val="bottom"/>
            <w:hideMark/>
          </w:tcPr>
          <w:p w14:paraId="54C1F236"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1.03 (0.71-1.51)</w:t>
            </w:r>
          </w:p>
        </w:tc>
        <w:tc>
          <w:tcPr>
            <w:tcW w:w="640" w:type="dxa"/>
            <w:tcBorders>
              <w:top w:val="single" w:sz="4" w:space="0" w:color="auto"/>
              <w:left w:val="nil"/>
              <w:bottom w:val="nil"/>
              <w:right w:val="single" w:sz="4" w:space="0" w:color="auto"/>
            </w:tcBorders>
            <w:shd w:val="clear" w:color="auto" w:fill="auto"/>
            <w:noWrap/>
            <w:vAlign w:val="bottom"/>
            <w:hideMark/>
          </w:tcPr>
          <w:p w14:paraId="2F75F5D5"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0.86</w:t>
            </w:r>
          </w:p>
        </w:tc>
      </w:tr>
      <w:tr w:rsidR="00C67788" w:rsidRPr="00C67788" w14:paraId="2317B9F1"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427FD640" w14:textId="77777777" w:rsidR="00C67788" w:rsidRPr="00C67788" w:rsidRDefault="00C67788" w:rsidP="00C67788">
            <w:pP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 xml:space="preserve">acute GVHD III-IV </w:t>
            </w:r>
          </w:p>
        </w:tc>
        <w:tc>
          <w:tcPr>
            <w:tcW w:w="1100" w:type="dxa"/>
            <w:tcBorders>
              <w:top w:val="nil"/>
              <w:left w:val="nil"/>
              <w:bottom w:val="nil"/>
              <w:right w:val="single" w:sz="4" w:space="0" w:color="auto"/>
            </w:tcBorders>
            <w:shd w:val="clear" w:color="auto" w:fill="auto"/>
            <w:noWrap/>
            <w:vAlign w:val="bottom"/>
            <w:hideMark/>
          </w:tcPr>
          <w:p w14:paraId="3D4B3442"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0.93 (0.56-1.55)</w:t>
            </w:r>
          </w:p>
        </w:tc>
        <w:tc>
          <w:tcPr>
            <w:tcW w:w="640" w:type="dxa"/>
            <w:tcBorders>
              <w:top w:val="nil"/>
              <w:left w:val="nil"/>
              <w:bottom w:val="nil"/>
              <w:right w:val="single" w:sz="4" w:space="0" w:color="auto"/>
            </w:tcBorders>
            <w:shd w:val="clear" w:color="auto" w:fill="auto"/>
            <w:noWrap/>
            <w:vAlign w:val="bottom"/>
            <w:hideMark/>
          </w:tcPr>
          <w:p w14:paraId="0920AE1C"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0.79</w:t>
            </w:r>
          </w:p>
        </w:tc>
        <w:tc>
          <w:tcPr>
            <w:tcW w:w="1100" w:type="dxa"/>
            <w:tcBorders>
              <w:top w:val="nil"/>
              <w:left w:val="nil"/>
              <w:bottom w:val="nil"/>
              <w:right w:val="single" w:sz="4" w:space="0" w:color="auto"/>
            </w:tcBorders>
            <w:shd w:val="clear" w:color="auto" w:fill="auto"/>
            <w:noWrap/>
            <w:vAlign w:val="bottom"/>
            <w:hideMark/>
          </w:tcPr>
          <w:p w14:paraId="45C40B63"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4.15 (2.52-6.83)</w:t>
            </w:r>
          </w:p>
        </w:tc>
        <w:tc>
          <w:tcPr>
            <w:tcW w:w="640" w:type="dxa"/>
            <w:tcBorders>
              <w:top w:val="nil"/>
              <w:left w:val="nil"/>
              <w:bottom w:val="nil"/>
              <w:right w:val="single" w:sz="4" w:space="0" w:color="auto"/>
            </w:tcBorders>
            <w:shd w:val="clear" w:color="auto" w:fill="auto"/>
            <w:noWrap/>
            <w:vAlign w:val="bottom"/>
            <w:hideMark/>
          </w:tcPr>
          <w:p w14:paraId="0CF5BD0B"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&lt; 0.0001</w:t>
            </w:r>
          </w:p>
        </w:tc>
        <w:tc>
          <w:tcPr>
            <w:tcW w:w="1100" w:type="dxa"/>
            <w:tcBorders>
              <w:top w:val="nil"/>
              <w:left w:val="nil"/>
              <w:bottom w:val="nil"/>
              <w:right w:val="single" w:sz="4" w:space="0" w:color="auto"/>
            </w:tcBorders>
            <w:shd w:val="clear" w:color="auto" w:fill="auto"/>
            <w:noWrap/>
            <w:vAlign w:val="bottom"/>
            <w:hideMark/>
          </w:tcPr>
          <w:p w14:paraId="4A620DF0"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1.64 (1.19-2.26)</w:t>
            </w:r>
          </w:p>
        </w:tc>
        <w:tc>
          <w:tcPr>
            <w:tcW w:w="640" w:type="dxa"/>
            <w:tcBorders>
              <w:top w:val="nil"/>
              <w:left w:val="nil"/>
              <w:bottom w:val="nil"/>
              <w:right w:val="single" w:sz="4" w:space="0" w:color="auto"/>
            </w:tcBorders>
            <w:shd w:val="clear" w:color="auto" w:fill="auto"/>
            <w:noWrap/>
            <w:vAlign w:val="bottom"/>
            <w:hideMark/>
          </w:tcPr>
          <w:p w14:paraId="2EBD79D8"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0.002</w:t>
            </w:r>
          </w:p>
        </w:tc>
        <w:tc>
          <w:tcPr>
            <w:tcW w:w="1100" w:type="dxa"/>
            <w:tcBorders>
              <w:top w:val="nil"/>
              <w:left w:val="nil"/>
              <w:bottom w:val="nil"/>
              <w:right w:val="single" w:sz="4" w:space="0" w:color="auto"/>
            </w:tcBorders>
            <w:shd w:val="clear" w:color="auto" w:fill="auto"/>
            <w:noWrap/>
            <w:vAlign w:val="bottom"/>
            <w:hideMark/>
          </w:tcPr>
          <w:p w14:paraId="35F81C26"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1.58 (1.04-2.42)</w:t>
            </w:r>
          </w:p>
        </w:tc>
        <w:tc>
          <w:tcPr>
            <w:tcW w:w="640" w:type="dxa"/>
            <w:tcBorders>
              <w:top w:val="nil"/>
              <w:left w:val="nil"/>
              <w:bottom w:val="nil"/>
              <w:right w:val="single" w:sz="4" w:space="0" w:color="auto"/>
            </w:tcBorders>
            <w:shd w:val="clear" w:color="auto" w:fill="auto"/>
            <w:noWrap/>
            <w:vAlign w:val="bottom"/>
            <w:hideMark/>
          </w:tcPr>
          <w:p w14:paraId="0A5CBEFE"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0.033</w:t>
            </w:r>
          </w:p>
        </w:tc>
      </w:tr>
      <w:tr w:rsidR="00C67788" w:rsidRPr="00C67788" w14:paraId="1734C5AA"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604517B5" w14:textId="77777777" w:rsidR="00C67788" w:rsidRPr="00C67788" w:rsidRDefault="00C67788" w:rsidP="00C67788">
            <w:pPr>
              <w:rPr>
                <w:rFonts w:ascii="Calibri" w:eastAsia="Times New Roman" w:hAnsi="Calibri" w:cs="Calibri"/>
                <w:b/>
                <w:bCs/>
                <w:color w:val="000000"/>
                <w:sz w:val="14"/>
                <w:szCs w:val="14"/>
                <w:lang w:eastAsia="fr-FR"/>
              </w:rPr>
            </w:pPr>
            <w:proofErr w:type="spellStart"/>
            <w:r w:rsidRPr="00C67788">
              <w:rPr>
                <w:rFonts w:ascii="Calibri" w:eastAsia="Times New Roman" w:hAnsi="Calibri" w:cs="Calibri"/>
                <w:b/>
                <w:bCs/>
                <w:color w:val="000000"/>
                <w:sz w:val="14"/>
                <w:szCs w:val="14"/>
                <w:lang w:eastAsia="fr-FR"/>
              </w:rPr>
              <w:t>limited</w:t>
            </w:r>
            <w:proofErr w:type="spellEnd"/>
            <w:r w:rsidRPr="00C67788">
              <w:rPr>
                <w:rFonts w:ascii="Calibri" w:eastAsia="Times New Roman" w:hAnsi="Calibri" w:cs="Calibri"/>
                <w:b/>
                <w:bCs/>
                <w:color w:val="000000"/>
                <w:sz w:val="14"/>
                <w:szCs w:val="14"/>
                <w:lang w:eastAsia="fr-FR"/>
              </w:rPr>
              <w:t xml:space="preserve">  </w:t>
            </w:r>
            <w:proofErr w:type="spellStart"/>
            <w:r w:rsidRPr="00C67788">
              <w:rPr>
                <w:rFonts w:ascii="Calibri" w:eastAsia="Times New Roman" w:hAnsi="Calibri" w:cs="Calibri"/>
                <w:b/>
                <w:bCs/>
                <w:color w:val="000000"/>
                <w:sz w:val="14"/>
                <w:szCs w:val="14"/>
                <w:lang w:eastAsia="fr-FR"/>
              </w:rPr>
              <w:t>cGVHD</w:t>
            </w:r>
            <w:proofErr w:type="spellEnd"/>
          </w:p>
        </w:tc>
        <w:tc>
          <w:tcPr>
            <w:tcW w:w="1100" w:type="dxa"/>
            <w:tcBorders>
              <w:top w:val="nil"/>
              <w:left w:val="nil"/>
              <w:bottom w:val="nil"/>
              <w:right w:val="single" w:sz="4" w:space="0" w:color="auto"/>
            </w:tcBorders>
            <w:shd w:val="clear" w:color="auto" w:fill="auto"/>
            <w:noWrap/>
            <w:vAlign w:val="bottom"/>
            <w:hideMark/>
          </w:tcPr>
          <w:p w14:paraId="55AB6DB1"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0.79 (0.42-1.5)</w:t>
            </w:r>
          </w:p>
        </w:tc>
        <w:tc>
          <w:tcPr>
            <w:tcW w:w="640" w:type="dxa"/>
            <w:tcBorders>
              <w:top w:val="nil"/>
              <w:left w:val="nil"/>
              <w:bottom w:val="nil"/>
              <w:right w:val="single" w:sz="4" w:space="0" w:color="auto"/>
            </w:tcBorders>
            <w:shd w:val="clear" w:color="auto" w:fill="auto"/>
            <w:noWrap/>
            <w:vAlign w:val="bottom"/>
            <w:hideMark/>
          </w:tcPr>
          <w:p w14:paraId="2C9C1191"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0.48</w:t>
            </w:r>
          </w:p>
        </w:tc>
        <w:tc>
          <w:tcPr>
            <w:tcW w:w="1100" w:type="dxa"/>
            <w:tcBorders>
              <w:top w:val="nil"/>
              <w:left w:val="nil"/>
              <w:bottom w:val="nil"/>
              <w:right w:val="single" w:sz="4" w:space="0" w:color="auto"/>
            </w:tcBorders>
            <w:shd w:val="clear" w:color="auto" w:fill="auto"/>
            <w:noWrap/>
            <w:vAlign w:val="bottom"/>
            <w:hideMark/>
          </w:tcPr>
          <w:p w14:paraId="7A5AC196"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1.14 (0.5-2.6)</w:t>
            </w:r>
          </w:p>
        </w:tc>
        <w:tc>
          <w:tcPr>
            <w:tcW w:w="640" w:type="dxa"/>
            <w:tcBorders>
              <w:top w:val="nil"/>
              <w:left w:val="nil"/>
              <w:bottom w:val="nil"/>
              <w:right w:val="single" w:sz="4" w:space="0" w:color="auto"/>
            </w:tcBorders>
            <w:shd w:val="clear" w:color="auto" w:fill="auto"/>
            <w:noWrap/>
            <w:vAlign w:val="bottom"/>
            <w:hideMark/>
          </w:tcPr>
          <w:p w14:paraId="06C19680"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0.75</w:t>
            </w:r>
          </w:p>
        </w:tc>
        <w:tc>
          <w:tcPr>
            <w:tcW w:w="1100" w:type="dxa"/>
            <w:tcBorders>
              <w:top w:val="nil"/>
              <w:left w:val="nil"/>
              <w:bottom w:val="nil"/>
              <w:right w:val="single" w:sz="4" w:space="0" w:color="auto"/>
            </w:tcBorders>
            <w:shd w:val="clear" w:color="auto" w:fill="auto"/>
            <w:noWrap/>
            <w:vAlign w:val="bottom"/>
            <w:hideMark/>
          </w:tcPr>
          <w:p w14:paraId="4BB75B7B"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0.9 (0.54-1.49)</w:t>
            </w:r>
          </w:p>
        </w:tc>
        <w:tc>
          <w:tcPr>
            <w:tcW w:w="640" w:type="dxa"/>
            <w:tcBorders>
              <w:top w:val="nil"/>
              <w:left w:val="nil"/>
              <w:bottom w:val="nil"/>
              <w:right w:val="single" w:sz="4" w:space="0" w:color="auto"/>
            </w:tcBorders>
            <w:shd w:val="clear" w:color="auto" w:fill="auto"/>
            <w:noWrap/>
            <w:vAlign w:val="bottom"/>
            <w:hideMark/>
          </w:tcPr>
          <w:p w14:paraId="543D5340"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0.67</w:t>
            </w:r>
          </w:p>
        </w:tc>
        <w:tc>
          <w:tcPr>
            <w:tcW w:w="1100" w:type="dxa"/>
            <w:tcBorders>
              <w:top w:val="nil"/>
              <w:left w:val="nil"/>
              <w:bottom w:val="nil"/>
              <w:right w:val="single" w:sz="4" w:space="0" w:color="auto"/>
            </w:tcBorders>
            <w:shd w:val="clear" w:color="auto" w:fill="auto"/>
            <w:noWrap/>
            <w:vAlign w:val="bottom"/>
            <w:hideMark/>
          </w:tcPr>
          <w:p w14:paraId="4FAFA8B9"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0.81 (0.45-1.45)</w:t>
            </w:r>
          </w:p>
        </w:tc>
        <w:tc>
          <w:tcPr>
            <w:tcW w:w="640" w:type="dxa"/>
            <w:tcBorders>
              <w:top w:val="nil"/>
              <w:left w:val="nil"/>
              <w:bottom w:val="nil"/>
              <w:right w:val="single" w:sz="4" w:space="0" w:color="auto"/>
            </w:tcBorders>
            <w:shd w:val="clear" w:color="auto" w:fill="auto"/>
            <w:noWrap/>
            <w:vAlign w:val="bottom"/>
            <w:hideMark/>
          </w:tcPr>
          <w:p w14:paraId="20E89F52"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0.48</w:t>
            </w:r>
          </w:p>
        </w:tc>
      </w:tr>
      <w:tr w:rsidR="00C67788" w:rsidRPr="00C67788" w14:paraId="3E97BB52"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5E8FB910" w14:textId="77777777" w:rsidR="00C67788" w:rsidRPr="00C67788" w:rsidRDefault="00C67788" w:rsidP="00C67788">
            <w:pP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 xml:space="preserve">extensive </w:t>
            </w:r>
            <w:proofErr w:type="spellStart"/>
            <w:r w:rsidRPr="00C67788">
              <w:rPr>
                <w:rFonts w:ascii="Calibri" w:eastAsia="Times New Roman" w:hAnsi="Calibri" w:cs="Calibri"/>
                <w:b/>
                <w:bCs/>
                <w:color w:val="000000"/>
                <w:sz w:val="14"/>
                <w:szCs w:val="14"/>
                <w:lang w:eastAsia="fr-FR"/>
              </w:rPr>
              <w:t>cGVHD</w:t>
            </w:r>
            <w:proofErr w:type="spellEnd"/>
          </w:p>
        </w:tc>
        <w:tc>
          <w:tcPr>
            <w:tcW w:w="1100" w:type="dxa"/>
            <w:tcBorders>
              <w:top w:val="nil"/>
              <w:left w:val="nil"/>
              <w:bottom w:val="nil"/>
              <w:right w:val="single" w:sz="4" w:space="0" w:color="auto"/>
            </w:tcBorders>
            <w:shd w:val="clear" w:color="auto" w:fill="auto"/>
            <w:noWrap/>
            <w:vAlign w:val="bottom"/>
            <w:hideMark/>
          </w:tcPr>
          <w:p w14:paraId="4ABB7E64"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1.32 (0.7-2.47)</w:t>
            </w:r>
          </w:p>
        </w:tc>
        <w:tc>
          <w:tcPr>
            <w:tcW w:w="640" w:type="dxa"/>
            <w:tcBorders>
              <w:top w:val="nil"/>
              <w:left w:val="nil"/>
              <w:bottom w:val="nil"/>
              <w:right w:val="single" w:sz="4" w:space="0" w:color="auto"/>
            </w:tcBorders>
            <w:shd w:val="clear" w:color="auto" w:fill="auto"/>
            <w:noWrap/>
            <w:vAlign w:val="bottom"/>
            <w:hideMark/>
          </w:tcPr>
          <w:p w14:paraId="15ECAB88"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0.39</w:t>
            </w:r>
          </w:p>
        </w:tc>
        <w:tc>
          <w:tcPr>
            <w:tcW w:w="1100" w:type="dxa"/>
            <w:tcBorders>
              <w:top w:val="nil"/>
              <w:left w:val="nil"/>
              <w:bottom w:val="nil"/>
              <w:right w:val="single" w:sz="4" w:space="0" w:color="auto"/>
            </w:tcBorders>
            <w:shd w:val="clear" w:color="auto" w:fill="auto"/>
            <w:noWrap/>
            <w:vAlign w:val="bottom"/>
            <w:hideMark/>
          </w:tcPr>
          <w:p w14:paraId="337D34C8"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3.37 (1.87-6.08)</w:t>
            </w:r>
          </w:p>
        </w:tc>
        <w:tc>
          <w:tcPr>
            <w:tcW w:w="640" w:type="dxa"/>
            <w:tcBorders>
              <w:top w:val="nil"/>
              <w:left w:val="nil"/>
              <w:bottom w:val="nil"/>
              <w:right w:val="single" w:sz="4" w:space="0" w:color="auto"/>
            </w:tcBorders>
            <w:shd w:val="clear" w:color="auto" w:fill="auto"/>
            <w:noWrap/>
            <w:vAlign w:val="bottom"/>
            <w:hideMark/>
          </w:tcPr>
          <w:p w14:paraId="655EB538"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&lt; 0.0001</w:t>
            </w:r>
          </w:p>
        </w:tc>
        <w:tc>
          <w:tcPr>
            <w:tcW w:w="1100" w:type="dxa"/>
            <w:tcBorders>
              <w:top w:val="nil"/>
              <w:left w:val="nil"/>
              <w:bottom w:val="nil"/>
              <w:right w:val="single" w:sz="4" w:space="0" w:color="auto"/>
            </w:tcBorders>
            <w:shd w:val="clear" w:color="auto" w:fill="auto"/>
            <w:noWrap/>
            <w:vAlign w:val="bottom"/>
            <w:hideMark/>
          </w:tcPr>
          <w:p w14:paraId="7D5B1A01"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1.95 (1.33-2.86)</w:t>
            </w:r>
          </w:p>
        </w:tc>
        <w:tc>
          <w:tcPr>
            <w:tcW w:w="640" w:type="dxa"/>
            <w:tcBorders>
              <w:top w:val="nil"/>
              <w:left w:val="nil"/>
              <w:bottom w:val="nil"/>
              <w:right w:val="single" w:sz="4" w:space="0" w:color="auto"/>
            </w:tcBorders>
            <w:shd w:val="clear" w:color="auto" w:fill="auto"/>
            <w:noWrap/>
            <w:vAlign w:val="bottom"/>
            <w:hideMark/>
          </w:tcPr>
          <w:p w14:paraId="2B019173"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0,0006</w:t>
            </w:r>
          </w:p>
        </w:tc>
        <w:tc>
          <w:tcPr>
            <w:tcW w:w="1100" w:type="dxa"/>
            <w:tcBorders>
              <w:top w:val="nil"/>
              <w:left w:val="nil"/>
              <w:bottom w:val="nil"/>
              <w:right w:val="single" w:sz="4" w:space="0" w:color="auto"/>
            </w:tcBorders>
            <w:shd w:val="clear" w:color="auto" w:fill="auto"/>
            <w:noWrap/>
            <w:vAlign w:val="bottom"/>
            <w:hideMark/>
          </w:tcPr>
          <w:p w14:paraId="7635B0A1" w14:textId="77777777" w:rsidR="00C67788" w:rsidRPr="00C67788" w:rsidRDefault="00C67788" w:rsidP="00C67788">
            <w:pPr>
              <w:jc w:val="center"/>
              <w:rPr>
                <w:rFonts w:ascii="Calibri" w:eastAsia="Times New Roman" w:hAnsi="Calibri" w:cs="Calibri"/>
                <w:b/>
                <w:bCs/>
                <w:color w:val="000000"/>
                <w:sz w:val="14"/>
                <w:szCs w:val="14"/>
                <w:lang w:eastAsia="fr-FR"/>
              </w:rPr>
            </w:pPr>
            <w:r w:rsidRPr="00C67788">
              <w:rPr>
                <w:rFonts w:ascii="Calibri" w:eastAsia="Times New Roman" w:hAnsi="Calibri" w:cs="Calibri"/>
                <w:b/>
                <w:bCs/>
                <w:color w:val="000000"/>
                <w:sz w:val="14"/>
                <w:szCs w:val="14"/>
                <w:lang w:eastAsia="fr-FR"/>
              </w:rPr>
              <w:t>2.05 (1.36-3.09)</w:t>
            </w:r>
          </w:p>
        </w:tc>
        <w:tc>
          <w:tcPr>
            <w:tcW w:w="640" w:type="dxa"/>
            <w:tcBorders>
              <w:top w:val="nil"/>
              <w:left w:val="nil"/>
              <w:bottom w:val="nil"/>
              <w:right w:val="single" w:sz="4" w:space="0" w:color="auto"/>
            </w:tcBorders>
            <w:shd w:val="clear" w:color="auto" w:fill="auto"/>
            <w:noWrap/>
            <w:vAlign w:val="bottom"/>
            <w:hideMark/>
          </w:tcPr>
          <w:p w14:paraId="04C6181D" w14:textId="77777777" w:rsidR="00C67788" w:rsidRPr="00C67788" w:rsidRDefault="00C67788" w:rsidP="00C67788">
            <w:pPr>
              <w:jc w:val="center"/>
              <w:rPr>
                <w:rFonts w:ascii="Calibri" w:eastAsia="Times New Roman" w:hAnsi="Calibri" w:cs="Calibri"/>
                <w:b/>
                <w:bCs/>
                <w:color w:val="FF0000"/>
                <w:sz w:val="14"/>
                <w:szCs w:val="14"/>
                <w:lang w:eastAsia="fr-FR"/>
              </w:rPr>
            </w:pPr>
            <w:r w:rsidRPr="00C67788">
              <w:rPr>
                <w:rFonts w:ascii="Calibri" w:eastAsia="Times New Roman" w:hAnsi="Calibri" w:cs="Calibri"/>
                <w:b/>
                <w:bCs/>
                <w:color w:val="FF0000"/>
                <w:sz w:val="14"/>
                <w:szCs w:val="14"/>
                <w:lang w:eastAsia="fr-FR"/>
              </w:rPr>
              <w:t>0.0006</w:t>
            </w:r>
          </w:p>
        </w:tc>
      </w:tr>
      <w:tr w:rsidR="00C67788" w:rsidRPr="00C67788" w14:paraId="5EC1848E"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5DFA07C3"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Age (per 10 y)</w:t>
            </w:r>
          </w:p>
        </w:tc>
        <w:tc>
          <w:tcPr>
            <w:tcW w:w="1100" w:type="dxa"/>
            <w:tcBorders>
              <w:top w:val="nil"/>
              <w:left w:val="nil"/>
              <w:bottom w:val="nil"/>
              <w:right w:val="single" w:sz="4" w:space="0" w:color="auto"/>
            </w:tcBorders>
            <w:shd w:val="clear" w:color="auto" w:fill="auto"/>
            <w:noWrap/>
            <w:vAlign w:val="bottom"/>
            <w:hideMark/>
          </w:tcPr>
          <w:p w14:paraId="5C08AEE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 (0.81-1)</w:t>
            </w:r>
          </w:p>
        </w:tc>
        <w:tc>
          <w:tcPr>
            <w:tcW w:w="640" w:type="dxa"/>
            <w:tcBorders>
              <w:top w:val="nil"/>
              <w:left w:val="nil"/>
              <w:bottom w:val="nil"/>
              <w:right w:val="single" w:sz="4" w:space="0" w:color="auto"/>
            </w:tcBorders>
            <w:shd w:val="clear" w:color="auto" w:fill="auto"/>
            <w:noWrap/>
            <w:vAlign w:val="bottom"/>
            <w:hideMark/>
          </w:tcPr>
          <w:p w14:paraId="542B102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0.06</w:t>
            </w:r>
          </w:p>
        </w:tc>
        <w:tc>
          <w:tcPr>
            <w:tcW w:w="1100" w:type="dxa"/>
            <w:tcBorders>
              <w:top w:val="nil"/>
              <w:left w:val="nil"/>
              <w:bottom w:val="nil"/>
              <w:right w:val="single" w:sz="4" w:space="0" w:color="auto"/>
            </w:tcBorders>
            <w:shd w:val="clear" w:color="auto" w:fill="auto"/>
            <w:noWrap/>
            <w:vAlign w:val="bottom"/>
            <w:hideMark/>
          </w:tcPr>
          <w:p w14:paraId="1316F35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1.57 (1.27-1.94)</w:t>
            </w:r>
          </w:p>
        </w:tc>
        <w:tc>
          <w:tcPr>
            <w:tcW w:w="640" w:type="dxa"/>
            <w:tcBorders>
              <w:top w:val="nil"/>
              <w:left w:val="nil"/>
              <w:bottom w:val="nil"/>
              <w:right w:val="single" w:sz="4" w:space="0" w:color="auto"/>
            </w:tcBorders>
            <w:shd w:val="clear" w:color="auto" w:fill="auto"/>
            <w:noWrap/>
            <w:vAlign w:val="bottom"/>
            <w:hideMark/>
          </w:tcPr>
          <w:p w14:paraId="72824EA2"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&lt; 0.0001</w:t>
            </w:r>
          </w:p>
        </w:tc>
        <w:tc>
          <w:tcPr>
            <w:tcW w:w="1100" w:type="dxa"/>
            <w:tcBorders>
              <w:top w:val="nil"/>
              <w:left w:val="nil"/>
              <w:bottom w:val="nil"/>
              <w:right w:val="single" w:sz="4" w:space="0" w:color="auto"/>
            </w:tcBorders>
            <w:shd w:val="clear" w:color="auto" w:fill="auto"/>
            <w:noWrap/>
            <w:vAlign w:val="bottom"/>
            <w:hideMark/>
          </w:tcPr>
          <w:p w14:paraId="0C0F8AA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1.04 (0.94-1.15)</w:t>
            </w:r>
          </w:p>
        </w:tc>
        <w:tc>
          <w:tcPr>
            <w:tcW w:w="640" w:type="dxa"/>
            <w:tcBorders>
              <w:top w:val="nil"/>
              <w:left w:val="nil"/>
              <w:bottom w:val="nil"/>
              <w:right w:val="single" w:sz="4" w:space="0" w:color="auto"/>
            </w:tcBorders>
            <w:shd w:val="clear" w:color="auto" w:fill="auto"/>
            <w:noWrap/>
            <w:vAlign w:val="bottom"/>
            <w:hideMark/>
          </w:tcPr>
          <w:p w14:paraId="4B45D3A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0.47</w:t>
            </w:r>
          </w:p>
        </w:tc>
        <w:tc>
          <w:tcPr>
            <w:tcW w:w="1100" w:type="dxa"/>
            <w:tcBorders>
              <w:top w:val="nil"/>
              <w:left w:val="nil"/>
              <w:bottom w:val="nil"/>
              <w:right w:val="single" w:sz="4" w:space="0" w:color="auto"/>
            </w:tcBorders>
            <w:shd w:val="clear" w:color="auto" w:fill="auto"/>
            <w:noWrap/>
            <w:vAlign w:val="bottom"/>
            <w:hideMark/>
          </w:tcPr>
          <w:p w14:paraId="50D551A2"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1.07 (0.96-1.19)</w:t>
            </w:r>
          </w:p>
        </w:tc>
        <w:tc>
          <w:tcPr>
            <w:tcW w:w="640" w:type="dxa"/>
            <w:tcBorders>
              <w:top w:val="nil"/>
              <w:left w:val="nil"/>
              <w:bottom w:val="nil"/>
              <w:right w:val="single" w:sz="4" w:space="0" w:color="auto"/>
            </w:tcBorders>
            <w:shd w:val="clear" w:color="auto" w:fill="auto"/>
            <w:noWrap/>
            <w:vAlign w:val="bottom"/>
            <w:hideMark/>
          </w:tcPr>
          <w:p w14:paraId="22A994E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0.2</w:t>
            </w:r>
          </w:p>
        </w:tc>
      </w:tr>
      <w:tr w:rsidR="00C67788" w:rsidRPr="00C67788" w14:paraId="5CCDDF77"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41072F5A"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sec. AML</w:t>
            </w:r>
          </w:p>
        </w:tc>
        <w:tc>
          <w:tcPr>
            <w:tcW w:w="1100" w:type="dxa"/>
            <w:tcBorders>
              <w:top w:val="nil"/>
              <w:left w:val="nil"/>
              <w:bottom w:val="nil"/>
              <w:right w:val="single" w:sz="4" w:space="0" w:color="auto"/>
            </w:tcBorders>
            <w:shd w:val="clear" w:color="auto" w:fill="auto"/>
            <w:noWrap/>
            <w:vAlign w:val="bottom"/>
            <w:hideMark/>
          </w:tcPr>
          <w:p w14:paraId="4BB05B8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0.75 (0.5-1.13)</w:t>
            </w:r>
          </w:p>
        </w:tc>
        <w:tc>
          <w:tcPr>
            <w:tcW w:w="640" w:type="dxa"/>
            <w:tcBorders>
              <w:top w:val="nil"/>
              <w:left w:val="nil"/>
              <w:bottom w:val="nil"/>
              <w:right w:val="single" w:sz="4" w:space="0" w:color="auto"/>
            </w:tcBorders>
            <w:shd w:val="clear" w:color="auto" w:fill="auto"/>
            <w:noWrap/>
            <w:vAlign w:val="bottom"/>
            <w:hideMark/>
          </w:tcPr>
          <w:p w14:paraId="47B3F6A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0.17</w:t>
            </w:r>
          </w:p>
        </w:tc>
        <w:tc>
          <w:tcPr>
            <w:tcW w:w="1100" w:type="dxa"/>
            <w:tcBorders>
              <w:top w:val="nil"/>
              <w:left w:val="nil"/>
              <w:bottom w:val="nil"/>
              <w:right w:val="single" w:sz="4" w:space="0" w:color="auto"/>
            </w:tcBorders>
            <w:shd w:val="clear" w:color="auto" w:fill="auto"/>
            <w:noWrap/>
            <w:vAlign w:val="bottom"/>
            <w:hideMark/>
          </w:tcPr>
          <w:p w14:paraId="5E0934E2"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0.92 (0.55-1.53)</w:t>
            </w:r>
          </w:p>
        </w:tc>
        <w:tc>
          <w:tcPr>
            <w:tcW w:w="640" w:type="dxa"/>
            <w:tcBorders>
              <w:top w:val="nil"/>
              <w:left w:val="nil"/>
              <w:bottom w:val="nil"/>
              <w:right w:val="single" w:sz="4" w:space="0" w:color="auto"/>
            </w:tcBorders>
            <w:shd w:val="clear" w:color="auto" w:fill="auto"/>
            <w:noWrap/>
            <w:vAlign w:val="bottom"/>
            <w:hideMark/>
          </w:tcPr>
          <w:p w14:paraId="223EBD5C"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0.75</w:t>
            </w:r>
          </w:p>
        </w:tc>
        <w:tc>
          <w:tcPr>
            <w:tcW w:w="1100" w:type="dxa"/>
            <w:tcBorders>
              <w:top w:val="nil"/>
              <w:left w:val="nil"/>
              <w:bottom w:val="nil"/>
              <w:right w:val="single" w:sz="4" w:space="0" w:color="auto"/>
            </w:tcBorders>
            <w:shd w:val="clear" w:color="auto" w:fill="auto"/>
            <w:noWrap/>
            <w:vAlign w:val="bottom"/>
            <w:hideMark/>
          </w:tcPr>
          <w:p w14:paraId="5BF3448B"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0.83 (0.61-1.14)</w:t>
            </w:r>
          </w:p>
        </w:tc>
        <w:tc>
          <w:tcPr>
            <w:tcW w:w="640" w:type="dxa"/>
            <w:tcBorders>
              <w:top w:val="nil"/>
              <w:left w:val="nil"/>
              <w:bottom w:val="nil"/>
              <w:right w:val="single" w:sz="4" w:space="0" w:color="auto"/>
            </w:tcBorders>
            <w:shd w:val="clear" w:color="auto" w:fill="auto"/>
            <w:noWrap/>
            <w:vAlign w:val="bottom"/>
            <w:hideMark/>
          </w:tcPr>
          <w:p w14:paraId="1E99655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0.25</w:t>
            </w:r>
          </w:p>
        </w:tc>
        <w:tc>
          <w:tcPr>
            <w:tcW w:w="1100" w:type="dxa"/>
            <w:tcBorders>
              <w:top w:val="nil"/>
              <w:left w:val="nil"/>
              <w:bottom w:val="nil"/>
              <w:right w:val="single" w:sz="4" w:space="0" w:color="auto"/>
            </w:tcBorders>
            <w:shd w:val="clear" w:color="auto" w:fill="auto"/>
            <w:noWrap/>
            <w:vAlign w:val="bottom"/>
            <w:hideMark/>
          </w:tcPr>
          <w:p w14:paraId="7DD149B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0.91 (0.67-1.26)</w:t>
            </w:r>
          </w:p>
        </w:tc>
        <w:tc>
          <w:tcPr>
            <w:tcW w:w="640" w:type="dxa"/>
            <w:tcBorders>
              <w:top w:val="nil"/>
              <w:left w:val="nil"/>
              <w:bottom w:val="nil"/>
              <w:right w:val="single" w:sz="4" w:space="0" w:color="auto"/>
            </w:tcBorders>
            <w:shd w:val="clear" w:color="auto" w:fill="auto"/>
            <w:noWrap/>
            <w:vAlign w:val="bottom"/>
            <w:hideMark/>
          </w:tcPr>
          <w:p w14:paraId="6106CC0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0.58</w:t>
            </w:r>
          </w:p>
        </w:tc>
      </w:tr>
      <w:tr w:rsidR="00C67788" w:rsidRPr="00C67788" w14:paraId="161D462C"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6102B78A"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 xml:space="preserve">Adverse </w:t>
            </w:r>
            <w:proofErr w:type="spellStart"/>
            <w:r w:rsidRPr="00C67788">
              <w:rPr>
                <w:rFonts w:ascii="Calibri" w:eastAsia="Times New Roman" w:hAnsi="Calibri" w:cs="Calibri"/>
                <w:color w:val="000000"/>
                <w:sz w:val="14"/>
                <w:szCs w:val="14"/>
                <w:lang w:eastAsia="fr-FR"/>
              </w:rPr>
              <w:t>cytogenetics</w:t>
            </w:r>
            <w:proofErr w:type="spellEnd"/>
          </w:p>
        </w:tc>
        <w:tc>
          <w:tcPr>
            <w:tcW w:w="1100" w:type="dxa"/>
            <w:tcBorders>
              <w:top w:val="nil"/>
              <w:left w:val="nil"/>
              <w:bottom w:val="nil"/>
              <w:right w:val="single" w:sz="4" w:space="0" w:color="auto"/>
            </w:tcBorders>
            <w:shd w:val="clear" w:color="auto" w:fill="auto"/>
            <w:noWrap/>
            <w:vAlign w:val="bottom"/>
            <w:hideMark/>
          </w:tcPr>
          <w:p w14:paraId="404804C5"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1.98 (1.45-2.71)</w:t>
            </w:r>
          </w:p>
        </w:tc>
        <w:tc>
          <w:tcPr>
            <w:tcW w:w="640" w:type="dxa"/>
            <w:tcBorders>
              <w:top w:val="nil"/>
              <w:left w:val="nil"/>
              <w:bottom w:val="nil"/>
              <w:right w:val="single" w:sz="4" w:space="0" w:color="auto"/>
            </w:tcBorders>
            <w:shd w:val="clear" w:color="auto" w:fill="auto"/>
            <w:noWrap/>
            <w:vAlign w:val="bottom"/>
            <w:hideMark/>
          </w:tcPr>
          <w:p w14:paraId="25EBD90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&lt; 0.0001</w:t>
            </w:r>
          </w:p>
        </w:tc>
        <w:tc>
          <w:tcPr>
            <w:tcW w:w="1100" w:type="dxa"/>
            <w:tcBorders>
              <w:top w:val="nil"/>
              <w:left w:val="nil"/>
              <w:bottom w:val="nil"/>
              <w:right w:val="single" w:sz="4" w:space="0" w:color="auto"/>
            </w:tcBorders>
            <w:shd w:val="clear" w:color="auto" w:fill="auto"/>
            <w:noWrap/>
            <w:vAlign w:val="bottom"/>
            <w:hideMark/>
          </w:tcPr>
          <w:p w14:paraId="63F1A4C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1.4 (0.88-2.22)</w:t>
            </w:r>
          </w:p>
        </w:tc>
        <w:tc>
          <w:tcPr>
            <w:tcW w:w="640" w:type="dxa"/>
            <w:tcBorders>
              <w:top w:val="nil"/>
              <w:left w:val="nil"/>
              <w:bottom w:val="nil"/>
              <w:right w:val="single" w:sz="4" w:space="0" w:color="auto"/>
            </w:tcBorders>
            <w:shd w:val="clear" w:color="auto" w:fill="auto"/>
            <w:noWrap/>
            <w:vAlign w:val="bottom"/>
            <w:hideMark/>
          </w:tcPr>
          <w:p w14:paraId="484A575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0.16</w:t>
            </w:r>
          </w:p>
        </w:tc>
        <w:tc>
          <w:tcPr>
            <w:tcW w:w="1100" w:type="dxa"/>
            <w:tcBorders>
              <w:top w:val="nil"/>
              <w:left w:val="nil"/>
              <w:bottom w:val="nil"/>
              <w:right w:val="single" w:sz="4" w:space="0" w:color="auto"/>
            </w:tcBorders>
            <w:shd w:val="clear" w:color="auto" w:fill="auto"/>
            <w:noWrap/>
            <w:vAlign w:val="bottom"/>
            <w:hideMark/>
          </w:tcPr>
          <w:p w14:paraId="67051BD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1.77 (1.37-2.28)</w:t>
            </w:r>
          </w:p>
        </w:tc>
        <w:tc>
          <w:tcPr>
            <w:tcW w:w="640" w:type="dxa"/>
            <w:tcBorders>
              <w:top w:val="nil"/>
              <w:left w:val="nil"/>
              <w:bottom w:val="nil"/>
              <w:right w:val="single" w:sz="4" w:space="0" w:color="auto"/>
            </w:tcBorders>
            <w:shd w:val="clear" w:color="auto" w:fill="auto"/>
            <w:noWrap/>
            <w:vAlign w:val="bottom"/>
            <w:hideMark/>
          </w:tcPr>
          <w:p w14:paraId="4A09D74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&lt; 0.0001</w:t>
            </w:r>
          </w:p>
        </w:tc>
        <w:tc>
          <w:tcPr>
            <w:tcW w:w="1100" w:type="dxa"/>
            <w:tcBorders>
              <w:top w:val="nil"/>
              <w:left w:val="nil"/>
              <w:bottom w:val="nil"/>
              <w:right w:val="single" w:sz="4" w:space="0" w:color="auto"/>
            </w:tcBorders>
            <w:shd w:val="clear" w:color="auto" w:fill="auto"/>
            <w:noWrap/>
            <w:vAlign w:val="bottom"/>
            <w:hideMark/>
          </w:tcPr>
          <w:p w14:paraId="7694A64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1.73 (1.32-2.25)</w:t>
            </w:r>
          </w:p>
        </w:tc>
        <w:tc>
          <w:tcPr>
            <w:tcW w:w="640" w:type="dxa"/>
            <w:tcBorders>
              <w:top w:val="nil"/>
              <w:left w:val="nil"/>
              <w:bottom w:val="nil"/>
              <w:right w:val="single" w:sz="4" w:space="0" w:color="auto"/>
            </w:tcBorders>
            <w:shd w:val="clear" w:color="auto" w:fill="auto"/>
            <w:noWrap/>
            <w:vAlign w:val="bottom"/>
            <w:hideMark/>
          </w:tcPr>
          <w:p w14:paraId="3FBB78F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&lt; 0.0001</w:t>
            </w:r>
          </w:p>
        </w:tc>
      </w:tr>
      <w:tr w:rsidR="00C67788" w:rsidRPr="00C67788" w14:paraId="3EAF17E3"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7C19CBAA" w14:textId="77777777" w:rsidR="00C67788" w:rsidRPr="00C67788" w:rsidRDefault="00C67788" w:rsidP="00C67788">
            <w:pPr>
              <w:rPr>
                <w:rFonts w:ascii="Calibri" w:eastAsia="Times New Roman" w:hAnsi="Calibri" w:cs="Calibri"/>
                <w:color w:val="000000"/>
                <w:sz w:val="14"/>
                <w:szCs w:val="14"/>
                <w:lang w:eastAsia="fr-FR"/>
              </w:rPr>
            </w:pPr>
            <w:proofErr w:type="spellStart"/>
            <w:r w:rsidRPr="00C67788">
              <w:rPr>
                <w:rFonts w:ascii="Calibri" w:eastAsia="Times New Roman" w:hAnsi="Calibri" w:cs="Calibri"/>
                <w:color w:val="000000"/>
                <w:sz w:val="14"/>
                <w:szCs w:val="14"/>
                <w:lang w:eastAsia="fr-FR"/>
              </w:rPr>
              <w:t>Year</w:t>
            </w:r>
            <w:proofErr w:type="spellEnd"/>
            <w:r w:rsidRPr="00C67788">
              <w:rPr>
                <w:rFonts w:ascii="Calibri" w:eastAsia="Times New Roman" w:hAnsi="Calibri" w:cs="Calibri"/>
                <w:color w:val="000000"/>
                <w:sz w:val="14"/>
                <w:szCs w:val="14"/>
                <w:lang w:eastAsia="fr-FR"/>
              </w:rPr>
              <w:t xml:space="preserve"> of HSCT</w:t>
            </w:r>
          </w:p>
        </w:tc>
        <w:tc>
          <w:tcPr>
            <w:tcW w:w="1100" w:type="dxa"/>
            <w:tcBorders>
              <w:top w:val="nil"/>
              <w:left w:val="nil"/>
              <w:bottom w:val="nil"/>
              <w:right w:val="single" w:sz="4" w:space="0" w:color="auto"/>
            </w:tcBorders>
            <w:shd w:val="clear" w:color="auto" w:fill="auto"/>
            <w:noWrap/>
            <w:vAlign w:val="bottom"/>
            <w:hideMark/>
          </w:tcPr>
          <w:p w14:paraId="04A7361E"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0.96 (0.91-1.02)</w:t>
            </w:r>
          </w:p>
        </w:tc>
        <w:tc>
          <w:tcPr>
            <w:tcW w:w="640" w:type="dxa"/>
            <w:tcBorders>
              <w:top w:val="nil"/>
              <w:left w:val="nil"/>
              <w:bottom w:val="nil"/>
              <w:right w:val="single" w:sz="4" w:space="0" w:color="auto"/>
            </w:tcBorders>
            <w:shd w:val="clear" w:color="auto" w:fill="auto"/>
            <w:noWrap/>
            <w:vAlign w:val="bottom"/>
            <w:hideMark/>
          </w:tcPr>
          <w:p w14:paraId="1DD3CC0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0.18</w:t>
            </w:r>
          </w:p>
        </w:tc>
        <w:tc>
          <w:tcPr>
            <w:tcW w:w="1100" w:type="dxa"/>
            <w:tcBorders>
              <w:top w:val="nil"/>
              <w:left w:val="nil"/>
              <w:bottom w:val="nil"/>
              <w:right w:val="single" w:sz="4" w:space="0" w:color="auto"/>
            </w:tcBorders>
            <w:shd w:val="clear" w:color="auto" w:fill="auto"/>
            <w:noWrap/>
            <w:vAlign w:val="bottom"/>
            <w:hideMark/>
          </w:tcPr>
          <w:p w14:paraId="61470C0C"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0.99 (0.9-1.09)</w:t>
            </w:r>
          </w:p>
        </w:tc>
        <w:tc>
          <w:tcPr>
            <w:tcW w:w="640" w:type="dxa"/>
            <w:tcBorders>
              <w:top w:val="nil"/>
              <w:left w:val="nil"/>
              <w:bottom w:val="nil"/>
              <w:right w:val="single" w:sz="4" w:space="0" w:color="auto"/>
            </w:tcBorders>
            <w:shd w:val="clear" w:color="auto" w:fill="auto"/>
            <w:noWrap/>
            <w:vAlign w:val="bottom"/>
            <w:hideMark/>
          </w:tcPr>
          <w:p w14:paraId="7DA60A9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0.78</w:t>
            </w:r>
          </w:p>
        </w:tc>
        <w:tc>
          <w:tcPr>
            <w:tcW w:w="1100" w:type="dxa"/>
            <w:tcBorders>
              <w:top w:val="nil"/>
              <w:left w:val="nil"/>
              <w:bottom w:val="nil"/>
              <w:right w:val="single" w:sz="4" w:space="0" w:color="auto"/>
            </w:tcBorders>
            <w:shd w:val="clear" w:color="auto" w:fill="auto"/>
            <w:noWrap/>
            <w:vAlign w:val="bottom"/>
            <w:hideMark/>
          </w:tcPr>
          <w:p w14:paraId="65F121B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0.97 (0.92-1.02)</w:t>
            </w:r>
          </w:p>
        </w:tc>
        <w:tc>
          <w:tcPr>
            <w:tcW w:w="640" w:type="dxa"/>
            <w:tcBorders>
              <w:top w:val="nil"/>
              <w:left w:val="nil"/>
              <w:bottom w:val="nil"/>
              <w:right w:val="single" w:sz="4" w:space="0" w:color="auto"/>
            </w:tcBorders>
            <w:shd w:val="clear" w:color="auto" w:fill="auto"/>
            <w:noWrap/>
            <w:vAlign w:val="bottom"/>
            <w:hideMark/>
          </w:tcPr>
          <w:p w14:paraId="6EA741D2"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0.28</w:t>
            </w:r>
          </w:p>
        </w:tc>
        <w:tc>
          <w:tcPr>
            <w:tcW w:w="1100" w:type="dxa"/>
            <w:tcBorders>
              <w:top w:val="nil"/>
              <w:left w:val="nil"/>
              <w:bottom w:val="nil"/>
              <w:right w:val="single" w:sz="4" w:space="0" w:color="auto"/>
            </w:tcBorders>
            <w:shd w:val="clear" w:color="auto" w:fill="auto"/>
            <w:noWrap/>
            <w:vAlign w:val="bottom"/>
            <w:hideMark/>
          </w:tcPr>
          <w:p w14:paraId="2194F50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0.98 (0.93-1.04)</w:t>
            </w:r>
          </w:p>
        </w:tc>
        <w:tc>
          <w:tcPr>
            <w:tcW w:w="640" w:type="dxa"/>
            <w:tcBorders>
              <w:top w:val="nil"/>
              <w:left w:val="nil"/>
              <w:bottom w:val="nil"/>
              <w:right w:val="single" w:sz="4" w:space="0" w:color="auto"/>
            </w:tcBorders>
            <w:shd w:val="clear" w:color="auto" w:fill="auto"/>
            <w:noWrap/>
            <w:vAlign w:val="bottom"/>
            <w:hideMark/>
          </w:tcPr>
          <w:p w14:paraId="6A89AC9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0.52</w:t>
            </w:r>
          </w:p>
        </w:tc>
      </w:tr>
      <w:tr w:rsidR="00C67788" w:rsidRPr="00C67788" w14:paraId="2262DF9C"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5E34430B"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KPS&gt;=90</w:t>
            </w:r>
          </w:p>
        </w:tc>
        <w:tc>
          <w:tcPr>
            <w:tcW w:w="1100" w:type="dxa"/>
            <w:tcBorders>
              <w:top w:val="nil"/>
              <w:left w:val="nil"/>
              <w:bottom w:val="nil"/>
              <w:right w:val="single" w:sz="4" w:space="0" w:color="auto"/>
            </w:tcBorders>
            <w:shd w:val="clear" w:color="auto" w:fill="auto"/>
            <w:noWrap/>
            <w:vAlign w:val="bottom"/>
            <w:hideMark/>
          </w:tcPr>
          <w:p w14:paraId="15FCE63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0.82 (0.62-1.1)</w:t>
            </w:r>
          </w:p>
        </w:tc>
        <w:tc>
          <w:tcPr>
            <w:tcW w:w="640" w:type="dxa"/>
            <w:tcBorders>
              <w:top w:val="nil"/>
              <w:left w:val="nil"/>
              <w:bottom w:val="nil"/>
              <w:right w:val="single" w:sz="4" w:space="0" w:color="auto"/>
            </w:tcBorders>
            <w:shd w:val="clear" w:color="auto" w:fill="auto"/>
            <w:noWrap/>
            <w:vAlign w:val="bottom"/>
            <w:hideMark/>
          </w:tcPr>
          <w:p w14:paraId="2217E6E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0.19</w:t>
            </w:r>
          </w:p>
        </w:tc>
        <w:tc>
          <w:tcPr>
            <w:tcW w:w="1100" w:type="dxa"/>
            <w:tcBorders>
              <w:top w:val="nil"/>
              <w:left w:val="nil"/>
              <w:bottom w:val="nil"/>
              <w:right w:val="single" w:sz="4" w:space="0" w:color="auto"/>
            </w:tcBorders>
            <w:shd w:val="clear" w:color="auto" w:fill="auto"/>
            <w:noWrap/>
            <w:vAlign w:val="bottom"/>
            <w:hideMark/>
          </w:tcPr>
          <w:p w14:paraId="0A02047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0.57 (0.37-0.87)</w:t>
            </w:r>
          </w:p>
        </w:tc>
        <w:tc>
          <w:tcPr>
            <w:tcW w:w="640" w:type="dxa"/>
            <w:tcBorders>
              <w:top w:val="nil"/>
              <w:left w:val="nil"/>
              <w:bottom w:val="nil"/>
              <w:right w:val="single" w:sz="4" w:space="0" w:color="auto"/>
            </w:tcBorders>
            <w:shd w:val="clear" w:color="auto" w:fill="auto"/>
            <w:noWrap/>
            <w:vAlign w:val="bottom"/>
            <w:hideMark/>
          </w:tcPr>
          <w:p w14:paraId="0A72D75A"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0.01</w:t>
            </w:r>
          </w:p>
        </w:tc>
        <w:tc>
          <w:tcPr>
            <w:tcW w:w="1100" w:type="dxa"/>
            <w:tcBorders>
              <w:top w:val="nil"/>
              <w:left w:val="nil"/>
              <w:bottom w:val="nil"/>
              <w:right w:val="single" w:sz="4" w:space="0" w:color="auto"/>
            </w:tcBorders>
            <w:shd w:val="clear" w:color="auto" w:fill="auto"/>
            <w:noWrap/>
            <w:vAlign w:val="bottom"/>
            <w:hideMark/>
          </w:tcPr>
          <w:p w14:paraId="72BC440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0.76 (0.59-0.96)</w:t>
            </w:r>
          </w:p>
        </w:tc>
        <w:tc>
          <w:tcPr>
            <w:tcW w:w="640" w:type="dxa"/>
            <w:tcBorders>
              <w:top w:val="nil"/>
              <w:left w:val="nil"/>
              <w:bottom w:val="nil"/>
              <w:right w:val="single" w:sz="4" w:space="0" w:color="auto"/>
            </w:tcBorders>
            <w:shd w:val="clear" w:color="auto" w:fill="auto"/>
            <w:noWrap/>
            <w:vAlign w:val="bottom"/>
            <w:hideMark/>
          </w:tcPr>
          <w:p w14:paraId="3B8B94F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0.023</w:t>
            </w:r>
          </w:p>
        </w:tc>
        <w:tc>
          <w:tcPr>
            <w:tcW w:w="1100" w:type="dxa"/>
            <w:tcBorders>
              <w:top w:val="nil"/>
              <w:left w:val="nil"/>
              <w:bottom w:val="nil"/>
              <w:right w:val="single" w:sz="4" w:space="0" w:color="auto"/>
            </w:tcBorders>
            <w:shd w:val="clear" w:color="auto" w:fill="auto"/>
            <w:noWrap/>
            <w:vAlign w:val="bottom"/>
            <w:hideMark/>
          </w:tcPr>
          <w:p w14:paraId="74DDC2E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0.76 (0.59-0.99)</w:t>
            </w:r>
          </w:p>
        </w:tc>
        <w:tc>
          <w:tcPr>
            <w:tcW w:w="640" w:type="dxa"/>
            <w:tcBorders>
              <w:top w:val="nil"/>
              <w:left w:val="nil"/>
              <w:bottom w:val="nil"/>
              <w:right w:val="single" w:sz="4" w:space="0" w:color="auto"/>
            </w:tcBorders>
            <w:shd w:val="clear" w:color="auto" w:fill="auto"/>
            <w:noWrap/>
            <w:vAlign w:val="bottom"/>
            <w:hideMark/>
          </w:tcPr>
          <w:p w14:paraId="7A8A301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0.042</w:t>
            </w:r>
          </w:p>
        </w:tc>
      </w:tr>
      <w:tr w:rsidR="00C67788" w:rsidRPr="00C67788" w14:paraId="7E28534F"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462918A5" w14:textId="77777777" w:rsidR="00C67788" w:rsidRPr="00C67788" w:rsidRDefault="00C67788" w:rsidP="00C67788">
            <w:pPr>
              <w:rPr>
                <w:rFonts w:ascii="Calibri" w:eastAsia="Times New Roman" w:hAnsi="Calibri" w:cs="Calibri"/>
                <w:color w:val="000000"/>
                <w:sz w:val="14"/>
                <w:szCs w:val="14"/>
                <w:lang w:eastAsia="fr-FR"/>
              </w:rPr>
            </w:pPr>
            <w:proofErr w:type="spellStart"/>
            <w:r w:rsidRPr="00C67788">
              <w:rPr>
                <w:rFonts w:ascii="Calibri" w:eastAsia="Times New Roman" w:hAnsi="Calibri" w:cs="Calibri"/>
                <w:color w:val="000000"/>
                <w:sz w:val="14"/>
                <w:szCs w:val="14"/>
                <w:lang w:eastAsia="fr-FR"/>
              </w:rPr>
              <w:t>female</w:t>
            </w:r>
            <w:proofErr w:type="spellEnd"/>
            <w:r w:rsidRPr="00C67788">
              <w:rPr>
                <w:rFonts w:ascii="Calibri" w:eastAsia="Times New Roman" w:hAnsi="Calibri" w:cs="Calibri"/>
                <w:color w:val="000000"/>
                <w:sz w:val="14"/>
                <w:szCs w:val="14"/>
                <w:lang w:eastAsia="fr-FR"/>
              </w:rPr>
              <w:t xml:space="preserve"> to male</w:t>
            </w:r>
          </w:p>
        </w:tc>
        <w:tc>
          <w:tcPr>
            <w:tcW w:w="1100" w:type="dxa"/>
            <w:tcBorders>
              <w:top w:val="nil"/>
              <w:left w:val="nil"/>
              <w:bottom w:val="nil"/>
              <w:right w:val="single" w:sz="4" w:space="0" w:color="auto"/>
            </w:tcBorders>
            <w:shd w:val="clear" w:color="auto" w:fill="auto"/>
            <w:noWrap/>
            <w:vAlign w:val="bottom"/>
            <w:hideMark/>
          </w:tcPr>
          <w:p w14:paraId="31A35BE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 (0.62-1.3)</w:t>
            </w:r>
          </w:p>
        </w:tc>
        <w:tc>
          <w:tcPr>
            <w:tcW w:w="640" w:type="dxa"/>
            <w:tcBorders>
              <w:top w:val="nil"/>
              <w:left w:val="nil"/>
              <w:bottom w:val="nil"/>
              <w:right w:val="single" w:sz="4" w:space="0" w:color="auto"/>
            </w:tcBorders>
            <w:shd w:val="clear" w:color="auto" w:fill="auto"/>
            <w:noWrap/>
            <w:vAlign w:val="bottom"/>
            <w:hideMark/>
          </w:tcPr>
          <w:p w14:paraId="63090D85"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0.57</w:t>
            </w:r>
          </w:p>
        </w:tc>
        <w:tc>
          <w:tcPr>
            <w:tcW w:w="1100" w:type="dxa"/>
            <w:tcBorders>
              <w:top w:val="nil"/>
              <w:left w:val="nil"/>
              <w:bottom w:val="nil"/>
              <w:right w:val="single" w:sz="4" w:space="0" w:color="auto"/>
            </w:tcBorders>
            <w:shd w:val="clear" w:color="auto" w:fill="auto"/>
            <w:noWrap/>
            <w:vAlign w:val="bottom"/>
            <w:hideMark/>
          </w:tcPr>
          <w:p w14:paraId="6D58A365"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1.2 (0.74-1.94)</w:t>
            </w:r>
          </w:p>
        </w:tc>
        <w:tc>
          <w:tcPr>
            <w:tcW w:w="640" w:type="dxa"/>
            <w:tcBorders>
              <w:top w:val="nil"/>
              <w:left w:val="nil"/>
              <w:bottom w:val="nil"/>
              <w:right w:val="single" w:sz="4" w:space="0" w:color="auto"/>
            </w:tcBorders>
            <w:shd w:val="clear" w:color="auto" w:fill="auto"/>
            <w:noWrap/>
            <w:vAlign w:val="bottom"/>
            <w:hideMark/>
          </w:tcPr>
          <w:p w14:paraId="7C81521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0.46</w:t>
            </w:r>
          </w:p>
        </w:tc>
        <w:tc>
          <w:tcPr>
            <w:tcW w:w="1100" w:type="dxa"/>
            <w:tcBorders>
              <w:top w:val="nil"/>
              <w:left w:val="nil"/>
              <w:bottom w:val="nil"/>
              <w:right w:val="single" w:sz="4" w:space="0" w:color="auto"/>
            </w:tcBorders>
            <w:shd w:val="clear" w:color="auto" w:fill="auto"/>
            <w:noWrap/>
            <w:vAlign w:val="bottom"/>
            <w:hideMark/>
          </w:tcPr>
          <w:p w14:paraId="0837856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0.98 (0.74-1.3)</w:t>
            </w:r>
          </w:p>
        </w:tc>
        <w:tc>
          <w:tcPr>
            <w:tcW w:w="640" w:type="dxa"/>
            <w:tcBorders>
              <w:top w:val="nil"/>
              <w:left w:val="nil"/>
              <w:bottom w:val="nil"/>
              <w:right w:val="single" w:sz="4" w:space="0" w:color="auto"/>
            </w:tcBorders>
            <w:shd w:val="clear" w:color="auto" w:fill="auto"/>
            <w:noWrap/>
            <w:vAlign w:val="bottom"/>
            <w:hideMark/>
          </w:tcPr>
          <w:p w14:paraId="55050DFE"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w:t>
            </w:r>
          </w:p>
        </w:tc>
        <w:tc>
          <w:tcPr>
            <w:tcW w:w="1100" w:type="dxa"/>
            <w:tcBorders>
              <w:top w:val="nil"/>
              <w:left w:val="nil"/>
              <w:bottom w:val="nil"/>
              <w:right w:val="single" w:sz="4" w:space="0" w:color="auto"/>
            </w:tcBorders>
            <w:shd w:val="clear" w:color="auto" w:fill="auto"/>
            <w:noWrap/>
            <w:vAlign w:val="bottom"/>
            <w:hideMark/>
          </w:tcPr>
          <w:p w14:paraId="3DF699BF"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1.11 (0.82-1.49)</w:t>
            </w:r>
          </w:p>
        </w:tc>
        <w:tc>
          <w:tcPr>
            <w:tcW w:w="640" w:type="dxa"/>
            <w:tcBorders>
              <w:top w:val="nil"/>
              <w:left w:val="nil"/>
              <w:bottom w:val="nil"/>
              <w:right w:val="single" w:sz="4" w:space="0" w:color="auto"/>
            </w:tcBorders>
            <w:shd w:val="clear" w:color="auto" w:fill="auto"/>
            <w:noWrap/>
            <w:vAlign w:val="bottom"/>
            <w:hideMark/>
          </w:tcPr>
          <w:p w14:paraId="3875116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w:t>
            </w:r>
          </w:p>
        </w:tc>
      </w:tr>
      <w:tr w:rsidR="00C67788" w:rsidRPr="00C67788" w14:paraId="27B0B986"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6C10E9D2"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Patient CMV positive</w:t>
            </w:r>
          </w:p>
        </w:tc>
        <w:tc>
          <w:tcPr>
            <w:tcW w:w="1100" w:type="dxa"/>
            <w:tcBorders>
              <w:top w:val="nil"/>
              <w:left w:val="nil"/>
              <w:bottom w:val="nil"/>
              <w:right w:val="single" w:sz="4" w:space="0" w:color="auto"/>
            </w:tcBorders>
            <w:shd w:val="clear" w:color="auto" w:fill="auto"/>
            <w:noWrap/>
            <w:vAlign w:val="bottom"/>
            <w:hideMark/>
          </w:tcPr>
          <w:p w14:paraId="5FE6FB5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1.2 (0.82-1.76)</w:t>
            </w:r>
          </w:p>
        </w:tc>
        <w:tc>
          <w:tcPr>
            <w:tcW w:w="640" w:type="dxa"/>
            <w:tcBorders>
              <w:top w:val="nil"/>
              <w:left w:val="nil"/>
              <w:bottom w:val="nil"/>
              <w:right w:val="single" w:sz="4" w:space="0" w:color="auto"/>
            </w:tcBorders>
            <w:shd w:val="clear" w:color="auto" w:fill="auto"/>
            <w:noWrap/>
            <w:vAlign w:val="bottom"/>
            <w:hideMark/>
          </w:tcPr>
          <w:p w14:paraId="3B44777E"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0.34</w:t>
            </w:r>
          </w:p>
        </w:tc>
        <w:tc>
          <w:tcPr>
            <w:tcW w:w="1100" w:type="dxa"/>
            <w:tcBorders>
              <w:top w:val="nil"/>
              <w:left w:val="nil"/>
              <w:bottom w:val="nil"/>
              <w:right w:val="single" w:sz="4" w:space="0" w:color="auto"/>
            </w:tcBorders>
            <w:shd w:val="clear" w:color="auto" w:fill="auto"/>
            <w:noWrap/>
            <w:vAlign w:val="bottom"/>
            <w:hideMark/>
          </w:tcPr>
          <w:p w14:paraId="4CA8FC8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1.18 (0.7-2.01)</w:t>
            </w:r>
          </w:p>
        </w:tc>
        <w:tc>
          <w:tcPr>
            <w:tcW w:w="640" w:type="dxa"/>
            <w:tcBorders>
              <w:top w:val="nil"/>
              <w:left w:val="nil"/>
              <w:bottom w:val="nil"/>
              <w:right w:val="single" w:sz="4" w:space="0" w:color="auto"/>
            </w:tcBorders>
            <w:shd w:val="clear" w:color="auto" w:fill="auto"/>
            <w:noWrap/>
            <w:vAlign w:val="bottom"/>
            <w:hideMark/>
          </w:tcPr>
          <w:p w14:paraId="09ECCC7E"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0.53</w:t>
            </w:r>
          </w:p>
        </w:tc>
        <w:tc>
          <w:tcPr>
            <w:tcW w:w="1100" w:type="dxa"/>
            <w:tcBorders>
              <w:top w:val="nil"/>
              <w:left w:val="nil"/>
              <w:bottom w:val="nil"/>
              <w:right w:val="single" w:sz="4" w:space="0" w:color="auto"/>
            </w:tcBorders>
            <w:shd w:val="clear" w:color="auto" w:fill="auto"/>
            <w:noWrap/>
            <w:vAlign w:val="bottom"/>
            <w:hideMark/>
          </w:tcPr>
          <w:p w14:paraId="5C6DC48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1.18 (0.87-1.6)</w:t>
            </w:r>
          </w:p>
        </w:tc>
        <w:tc>
          <w:tcPr>
            <w:tcW w:w="640" w:type="dxa"/>
            <w:tcBorders>
              <w:top w:val="nil"/>
              <w:left w:val="nil"/>
              <w:bottom w:val="nil"/>
              <w:right w:val="single" w:sz="4" w:space="0" w:color="auto"/>
            </w:tcBorders>
            <w:shd w:val="clear" w:color="auto" w:fill="auto"/>
            <w:noWrap/>
            <w:vAlign w:val="bottom"/>
            <w:hideMark/>
          </w:tcPr>
          <w:p w14:paraId="7A1874AF"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0.3</w:t>
            </w:r>
          </w:p>
        </w:tc>
        <w:tc>
          <w:tcPr>
            <w:tcW w:w="1100" w:type="dxa"/>
            <w:tcBorders>
              <w:top w:val="nil"/>
              <w:left w:val="nil"/>
              <w:bottom w:val="nil"/>
              <w:right w:val="single" w:sz="4" w:space="0" w:color="auto"/>
            </w:tcBorders>
            <w:shd w:val="clear" w:color="auto" w:fill="auto"/>
            <w:noWrap/>
            <w:vAlign w:val="bottom"/>
            <w:hideMark/>
          </w:tcPr>
          <w:p w14:paraId="1741460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1.19 (0.87-1.64)</w:t>
            </w:r>
          </w:p>
        </w:tc>
        <w:tc>
          <w:tcPr>
            <w:tcW w:w="640" w:type="dxa"/>
            <w:tcBorders>
              <w:top w:val="nil"/>
              <w:left w:val="nil"/>
              <w:bottom w:val="nil"/>
              <w:right w:val="single" w:sz="4" w:space="0" w:color="auto"/>
            </w:tcBorders>
            <w:shd w:val="clear" w:color="auto" w:fill="auto"/>
            <w:noWrap/>
            <w:vAlign w:val="bottom"/>
            <w:hideMark/>
          </w:tcPr>
          <w:p w14:paraId="3E28361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0.27</w:t>
            </w:r>
          </w:p>
        </w:tc>
      </w:tr>
      <w:tr w:rsidR="00C67788" w:rsidRPr="00C67788" w14:paraId="0E5FC5BF"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41CA0BFE" w14:textId="77777777" w:rsidR="00C67788" w:rsidRPr="00C67788" w:rsidRDefault="00C67788" w:rsidP="00C67788">
            <w:pPr>
              <w:rPr>
                <w:rFonts w:ascii="Calibri" w:eastAsia="Times New Roman" w:hAnsi="Calibri" w:cs="Calibri"/>
                <w:color w:val="000000"/>
                <w:sz w:val="14"/>
                <w:szCs w:val="14"/>
                <w:lang w:eastAsia="fr-FR"/>
              </w:rPr>
            </w:pPr>
            <w:proofErr w:type="spellStart"/>
            <w:r w:rsidRPr="00C67788">
              <w:rPr>
                <w:rFonts w:ascii="Calibri" w:eastAsia="Times New Roman" w:hAnsi="Calibri" w:cs="Calibri"/>
                <w:color w:val="000000"/>
                <w:sz w:val="14"/>
                <w:szCs w:val="14"/>
                <w:lang w:eastAsia="fr-FR"/>
              </w:rPr>
              <w:t>Donor</w:t>
            </w:r>
            <w:proofErr w:type="spellEnd"/>
            <w:r w:rsidRPr="00C67788">
              <w:rPr>
                <w:rFonts w:ascii="Calibri" w:eastAsia="Times New Roman" w:hAnsi="Calibri" w:cs="Calibri"/>
                <w:color w:val="000000"/>
                <w:sz w:val="14"/>
                <w:szCs w:val="14"/>
                <w:lang w:eastAsia="fr-FR"/>
              </w:rPr>
              <w:t xml:space="preserve"> CMV positive</w:t>
            </w:r>
          </w:p>
        </w:tc>
        <w:tc>
          <w:tcPr>
            <w:tcW w:w="1100" w:type="dxa"/>
            <w:tcBorders>
              <w:top w:val="nil"/>
              <w:left w:val="nil"/>
              <w:bottom w:val="nil"/>
              <w:right w:val="single" w:sz="4" w:space="0" w:color="auto"/>
            </w:tcBorders>
            <w:shd w:val="clear" w:color="auto" w:fill="auto"/>
            <w:noWrap/>
            <w:vAlign w:val="bottom"/>
            <w:hideMark/>
          </w:tcPr>
          <w:p w14:paraId="7F3ADF9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 (0.81-1.5)</w:t>
            </w:r>
          </w:p>
        </w:tc>
        <w:tc>
          <w:tcPr>
            <w:tcW w:w="640" w:type="dxa"/>
            <w:tcBorders>
              <w:top w:val="nil"/>
              <w:left w:val="nil"/>
              <w:bottom w:val="nil"/>
              <w:right w:val="single" w:sz="4" w:space="0" w:color="auto"/>
            </w:tcBorders>
            <w:shd w:val="clear" w:color="auto" w:fill="auto"/>
            <w:noWrap/>
            <w:vAlign w:val="bottom"/>
            <w:hideMark/>
          </w:tcPr>
          <w:p w14:paraId="10A0BFA2"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0.55</w:t>
            </w:r>
          </w:p>
        </w:tc>
        <w:tc>
          <w:tcPr>
            <w:tcW w:w="1100" w:type="dxa"/>
            <w:tcBorders>
              <w:top w:val="nil"/>
              <w:left w:val="nil"/>
              <w:bottom w:val="nil"/>
              <w:right w:val="single" w:sz="4" w:space="0" w:color="auto"/>
            </w:tcBorders>
            <w:shd w:val="clear" w:color="auto" w:fill="auto"/>
            <w:noWrap/>
            <w:vAlign w:val="bottom"/>
            <w:hideMark/>
          </w:tcPr>
          <w:p w14:paraId="01E4759C"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0.79 (0.5-1.24)</w:t>
            </w:r>
          </w:p>
        </w:tc>
        <w:tc>
          <w:tcPr>
            <w:tcW w:w="640" w:type="dxa"/>
            <w:tcBorders>
              <w:top w:val="nil"/>
              <w:left w:val="nil"/>
              <w:bottom w:val="nil"/>
              <w:right w:val="single" w:sz="4" w:space="0" w:color="auto"/>
            </w:tcBorders>
            <w:shd w:val="clear" w:color="auto" w:fill="auto"/>
            <w:noWrap/>
            <w:vAlign w:val="bottom"/>
            <w:hideMark/>
          </w:tcPr>
          <w:p w14:paraId="3480874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0.31</w:t>
            </w:r>
          </w:p>
        </w:tc>
        <w:tc>
          <w:tcPr>
            <w:tcW w:w="1100" w:type="dxa"/>
            <w:tcBorders>
              <w:top w:val="nil"/>
              <w:left w:val="nil"/>
              <w:bottom w:val="nil"/>
              <w:right w:val="single" w:sz="4" w:space="0" w:color="auto"/>
            </w:tcBorders>
            <w:shd w:val="clear" w:color="auto" w:fill="auto"/>
            <w:noWrap/>
            <w:vAlign w:val="bottom"/>
            <w:hideMark/>
          </w:tcPr>
          <w:p w14:paraId="41D2DC6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0.98 (0.76-1.27)</w:t>
            </w:r>
          </w:p>
        </w:tc>
        <w:tc>
          <w:tcPr>
            <w:tcW w:w="640" w:type="dxa"/>
            <w:tcBorders>
              <w:top w:val="nil"/>
              <w:left w:val="nil"/>
              <w:bottom w:val="nil"/>
              <w:right w:val="single" w:sz="4" w:space="0" w:color="auto"/>
            </w:tcBorders>
            <w:shd w:val="clear" w:color="auto" w:fill="auto"/>
            <w:noWrap/>
            <w:vAlign w:val="bottom"/>
            <w:hideMark/>
          </w:tcPr>
          <w:p w14:paraId="515E46F0"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0.91</w:t>
            </w:r>
          </w:p>
        </w:tc>
        <w:tc>
          <w:tcPr>
            <w:tcW w:w="1100" w:type="dxa"/>
            <w:tcBorders>
              <w:top w:val="nil"/>
              <w:left w:val="nil"/>
              <w:bottom w:val="nil"/>
              <w:right w:val="single" w:sz="4" w:space="0" w:color="auto"/>
            </w:tcBorders>
            <w:shd w:val="clear" w:color="auto" w:fill="auto"/>
            <w:noWrap/>
            <w:vAlign w:val="bottom"/>
            <w:hideMark/>
          </w:tcPr>
          <w:p w14:paraId="28D4582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0.99 (0.76-1.3)</w:t>
            </w:r>
          </w:p>
        </w:tc>
        <w:tc>
          <w:tcPr>
            <w:tcW w:w="640" w:type="dxa"/>
            <w:tcBorders>
              <w:top w:val="nil"/>
              <w:left w:val="nil"/>
              <w:bottom w:val="nil"/>
              <w:right w:val="single" w:sz="4" w:space="0" w:color="auto"/>
            </w:tcBorders>
            <w:shd w:val="clear" w:color="auto" w:fill="auto"/>
            <w:noWrap/>
            <w:vAlign w:val="bottom"/>
            <w:hideMark/>
          </w:tcPr>
          <w:p w14:paraId="7545B5E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0.95</w:t>
            </w:r>
          </w:p>
        </w:tc>
      </w:tr>
      <w:tr w:rsidR="00C67788" w:rsidRPr="00C67788" w14:paraId="72E8DF58" w14:textId="77777777" w:rsidTr="00C67788">
        <w:trPr>
          <w:trHeight w:val="300"/>
        </w:trPr>
        <w:tc>
          <w:tcPr>
            <w:tcW w:w="1320" w:type="dxa"/>
            <w:tcBorders>
              <w:top w:val="nil"/>
              <w:left w:val="single" w:sz="4" w:space="0" w:color="auto"/>
              <w:bottom w:val="nil"/>
              <w:right w:val="single" w:sz="4" w:space="0" w:color="auto"/>
            </w:tcBorders>
            <w:shd w:val="clear" w:color="auto" w:fill="auto"/>
            <w:noWrap/>
            <w:vAlign w:val="bottom"/>
            <w:hideMark/>
          </w:tcPr>
          <w:p w14:paraId="0B31E2AB"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PB vs BM</w:t>
            </w:r>
          </w:p>
        </w:tc>
        <w:tc>
          <w:tcPr>
            <w:tcW w:w="1100" w:type="dxa"/>
            <w:tcBorders>
              <w:top w:val="nil"/>
              <w:left w:val="nil"/>
              <w:bottom w:val="nil"/>
              <w:right w:val="single" w:sz="4" w:space="0" w:color="auto"/>
            </w:tcBorders>
            <w:shd w:val="clear" w:color="auto" w:fill="auto"/>
            <w:noWrap/>
            <w:vAlign w:val="bottom"/>
            <w:hideMark/>
          </w:tcPr>
          <w:p w14:paraId="13D16907"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0.94 (0.69-1.3)</w:t>
            </w:r>
          </w:p>
        </w:tc>
        <w:tc>
          <w:tcPr>
            <w:tcW w:w="640" w:type="dxa"/>
            <w:tcBorders>
              <w:top w:val="nil"/>
              <w:left w:val="nil"/>
              <w:bottom w:val="nil"/>
              <w:right w:val="single" w:sz="4" w:space="0" w:color="auto"/>
            </w:tcBorders>
            <w:shd w:val="clear" w:color="auto" w:fill="auto"/>
            <w:noWrap/>
            <w:vAlign w:val="bottom"/>
            <w:hideMark/>
          </w:tcPr>
          <w:p w14:paraId="63B70024"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0.72</w:t>
            </w:r>
          </w:p>
        </w:tc>
        <w:tc>
          <w:tcPr>
            <w:tcW w:w="1100" w:type="dxa"/>
            <w:tcBorders>
              <w:top w:val="nil"/>
              <w:left w:val="nil"/>
              <w:bottom w:val="nil"/>
              <w:right w:val="single" w:sz="4" w:space="0" w:color="auto"/>
            </w:tcBorders>
            <w:shd w:val="clear" w:color="auto" w:fill="auto"/>
            <w:noWrap/>
            <w:vAlign w:val="bottom"/>
            <w:hideMark/>
          </w:tcPr>
          <w:p w14:paraId="7E8D53AB"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1.59 (0.97-2.59)</w:t>
            </w:r>
          </w:p>
        </w:tc>
        <w:tc>
          <w:tcPr>
            <w:tcW w:w="640" w:type="dxa"/>
            <w:tcBorders>
              <w:top w:val="nil"/>
              <w:left w:val="nil"/>
              <w:bottom w:val="nil"/>
              <w:right w:val="single" w:sz="4" w:space="0" w:color="auto"/>
            </w:tcBorders>
            <w:shd w:val="clear" w:color="auto" w:fill="auto"/>
            <w:noWrap/>
            <w:vAlign w:val="bottom"/>
            <w:hideMark/>
          </w:tcPr>
          <w:p w14:paraId="0ECFCB39"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0.064</w:t>
            </w:r>
          </w:p>
        </w:tc>
        <w:tc>
          <w:tcPr>
            <w:tcW w:w="1100" w:type="dxa"/>
            <w:tcBorders>
              <w:top w:val="nil"/>
              <w:left w:val="nil"/>
              <w:bottom w:val="nil"/>
              <w:right w:val="single" w:sz="4" w:space="0" w:color="auto"/>
            </w:tcBorders>
            <w:shd w:val="clear" w:color="auto" w:fill="auto"/>
            <w:noWrap/>
            <w:vAlign w:val="bottom"/>
            <w:hideMark/>
          </w:tcPr>
          <w:p w14:paraId="54B4062C"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1.07 (0.82-1.39)</w:t>
            </w:r>
          </w:p>
        </w:tc>
        <w:tc>
          <w:tcPr>
            <w:tcW w:w="640" w:type="dxa"/>
            <w:tcBorders>
              <w:top w:val="nil"/>
              <w:left w:val="nil"/>
              <w:bottom w:val="nil"/>
              <w:right w:val="single" w:sz="4" w:space="0" w:color="auto"/>
            </w:tcBorders>
            <w:shd w:val="clear" w:color="auto" w:fill="auto"/>
            <w:noWrap/>
            <w:vAlign w:val="bottom"/>
            <w:hideMark/>
          </w:tcPr>
          <w:p w14:paraId="195DB63B"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0.61</w:t>
            </w:r>
          </w:p>
        </w:tc>
        <w:tc>
          <w:tcPr>
            <w:tcW w:w="1100" w:type="dxa"/>
            <w:tcBorders>
              <w:top w:val="nil"/>
              <w:left w:val="nil"/>
              <w:bottom w:val="nil"/>
              <w:right w:val="single" w:sz="4" w:space="0" w:color="auto"/>
            </w:tcBorders>
            <w:shd w:val="clear" w:color="auto" w:fill="auto"/>
            <w:noWrap/>
            <w:vAlign w:val="bottom"/>
            <w:hideMark/>
          </w:tcPr>
          <w:p w14:paraId="3B24ACA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 (0.84-1.45)</w:t>
            </w:r>
          </w:p>
        </w:tc>
        <w:tc>
          <w:tcPr>
            <w:tcW w:w="640" w:type="dxa"/>
            <w:tcBorders>
              <w:top w:val="nil"/>
              <w:left w:val="nil"/>
              <w:bottom w:val="nil"/>
              <w:right w:val="single" w:sz="4" w:space="0" w:color="auto"/>
            </w:tcBorders>
            <w:shd w:val="clear" w:color="auto" w:fill="auto"/>
            <w:noWrap/>
            <w:vAlign w:val="bottom"/>
            <w:hideMark/>
          </w:tcPr>
          <w:p w14:paraId="09007DDB"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0.49</w:t>
            </w:r>
          </w:p>
        </w:tc>
      </w:tr>
      <w:tr w:rsidR="00C67788" w:rsidRPr="00C67788" w14:paraId="54F0CAD8" w14:textId="77777777" w:rsidTr="00C6778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ACD3A49" w14:textId="77777777" w:rsidR="00C67788" w:rsidRPr="00C67788" w:rsidRDefault="00C67788" w:rsidP="00C67788">
            <w:pP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RIC vs MAC</w:t>
            </w:r>
          </w:p>
        </w:tc>
        <w:tc>
          <w:tcPr>
            <w:tcW w:w="1100" w:type="dxa"/>
            <w:tcBorders>
              <w:top w:val="nil"/>
              <w:left w:val="nil"/>
              <w:bottom w:val="single" w:sz="4" w:space="0" w:color="auto"/>
              <w:right w:val="single" w:sz="4" w:space="0" w:color="auto"/>
            </w:tcBorders>
            <w:shd w:val="clear" w:color="auto" w:fill="auto"/>
            <w:noWrap/>
            <w:vAlign w:val="bottom"/>
            <w:hideMark/>
          </w:tcPr>
          <w:p w14:paraId="5E420485"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1.03 (0.75-1.41)</w:t>
            </w:r>
          </w:p>
        </w:tc>
        <w:tc>
          <w:tcPr>
            <w:tcW w:w="640" w:type="dxa"/>
            <w:tcBorders>
              <w:top w:val="nil"/>
              <w:left w:val="nil"/>
              <w:bottom w:val="single" w:sz="4" w:space="0" w:color="auto"/>
              <w:right w:val="single" w:sz="4" w:space="0" w:color="auto"/>
            </w:tcBorders>
            <w:shd w:val="clear" w:color="auto" w:fill="auto"/>
            <w:noWrap/>
            <w:vAlign w:val="bottom"/>
            <w:hideMark/>
          </w:tcPr>
          <w:p w14:paraId="25B441DA"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0.86</w:t>
            </w:r>
          </w:p>
        </w:tc>
        <w:tc>
          <w:tcPr>
            <w:tcW w:w="1100" w:type="dxa"/>
            <w:tcBorders>
              <w:top w:val="nil"/>
              <w:left w:val="nil"/>
              <w:bottom w:val="single" w:sz="4" w:space="0" w:color="auto"/>
              <w:right w:val="single" w:sz="4" w:space="0" w:color="auto"/>
            </w:tcBorders>
            <w:shd w:val="clear" w:color="auto" w:fill="auto"/>
            <w:noWrap/>
            <w:vAlign w:val="bottom"/>
            <w:hideMark/>
          </w:tcPr>
          <w:p w14:paraId="0F4F1261"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 (0.54-1.51)</w:t>
            </w:r>
          </w:p>
        </w:tc>
        <w:tc>
          <w:tcPr>
            <w:tcW w:w="640" w:type="dxa"/>
            <w:tcBorders>
              <w:top w:val="nil"/>
              <w:left w:val="nil"/>
              <w:bottom w:val="single" w:sz="4" w:space="0" w:color="auto"/>
              <w:right w:val="single" w:sz="4" w:space="0" w:color="auto"/>
            </w:tcBorders>
            <w:shd w:val="clear" w:color="auto" w:fill="auto"/>
            <w:noWrap/>
            <w:vAlign w:val="bottom"/>
            <w:hideMark/>
          </w:tcPr>
          <w:p w14:paraId="6780BFF8"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0.7</w:t>
            </w:r>
          </w:p>
        </w:tc>
        <w:tc>
          <w:tcPr>
            <w:tcW w:w="1100" w:type="dxa"/>
            <w:tcBorders>
              <w:top w:val="nil"/>
              <w:left w:val="nil"/>
              <w:bottom w:val="single" w:sz="4" w:space="0" w:color="auto"/>
              <w:right w:val="single" w:sz="4" w:space="0" w:color="auto"/>
            </w:tcBorders>
            <w:shd w:val="clear" w:color="auto" w:fill="auto"/>
            <w:noWrap/>
            <w:vAlign w:val="bottom"/>
            <w:hideMark/>
          </w:tcPr>
          <w:p w14:paraId="515177CA"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1.01 (0.77-1.33)</w:t>
            </w:r>
          </w:p>
        </w:tc>
        <w:tc>
          <w:tcPr>
            <w:tcW w:w="640" w:type="dxa"/>
            <w:tcBorders>
              <w:top w:val="nil"/>
              <w:left w:val="nil"/>
              <w:bottom w:val="single" w:sz="4" w:space="0" w:color="auto"/>
              <w:right w:val="single" w:sz="4" w:space="0" w:color="auto"/>
            </w:tcBorders>
            <w:shd w:val="clear" w:color="auto" w:fill="auto"/>
            <w:noWrap/>
            <w:vAlign w:val="bottom"/>
            <w:hideMark/>
          </w:tcPr>
          <w:p w14:paraId="3D6D7366"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0.92</w:t>
            </w:r>
          </w:p>
        </w:tc>
        <w:tc>
          <w:tcPr>
            <w:tcW w:w="1100" w:type="dxa"/>
            <w:tcBorders>
              <w:top w:val="nil"/>
              <w:left w:val="nil"/>
              <w:bottom w:val="single" w:sz="4" w:space="0" w:color="auto"/>
              <w:right w:val="single" w:sz="4" w:space="0" w:color="auto"/>
            </w:tcBorders>
            <w:shd w:val="clear" w:color="auto" w:fill="auto"/>
            <w:noWrap/>
            <w:vAlign w:val="bottom"/>
            <w:hideMark/>
          </w:tcPr>
          <w:p w14:paraId="2AF0E2ED"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1.13 (0.84-1.51)</w:t>
            </w:r>
          </w:p>
        </w:tc>
        <w:tc>
          <w:tcPr>
            <w:tcW w:w="640" w:type="dxa"/>
            <w:tcBorders>
              <w:top w:val="nil"/>
              <w:left w:val="nil"/>
              <w:bottom w:val="single" w:sz="4" w:space="0" w:color="auto"/>
              <w:right w:val="single" w:sz="4" w:space="0" w:color="auto"/>
            </w:tcBorders>
            <w:shd w:val="clear" w:color="auto" w:fill="auto"/>
            <w:noWrap/>
            <w:vAlign w:val="bottom"/>
            <w:hideMark/>
          </w:tcPr>
          <w:p w14:paraId="763E73E3" w14:textId="77777777" w:rsidR="00C67788" w:rsidRPr="00C67788" w:rsidRDefault="00C67788" w:rsidP="00C67788">
            <w:pPr>
              <w:jc w:val="center"/>
              <w:rPr>
                <w:rFonts w:ascii="Calibri" w:eastAsia="Times New Roman" w:hAnsi="Calibri" w:cs="Calibri"/>
                <w:color w:val="000000"/>
                <w:sz w:val="14"/>
                <w:szCs w:val="14"/>
                <w:lang w:eastAsia="fr-FR"/>
              </w:rPr>
            </w:pPr>
            <w:r w:rsidRPr="00C67788">
              <w:rPr>
                <w:rFonts w:ascii="Calibri" w:eastAsia="Times New Roman" w:hAnsi="Calibri" w:cs="Calibri"/>
                <w:color w:val="000000"/>
                <w:sz w:val="14"/>
                <w:szCs w:val="14"/>
                <w:lang w:eastAsia="fr-FR"/>
              </w:rPr>
              <w:t>0.42</w:t>
            </w:r>
          </w:p>
        </w:tc>
      </w:tr>
    </w:tbl>
    <w:p w14:paraId="14FFFACE" w14:textId="77777777" w:rsidR="00C67788" w:rsidRPr="00C67788" w:rsidRDefault="00C67788" w:rsidP="00C67788">
      <w:pPr>
        <w:rPr>
          <w:sz w:val="20"/>
          <w:szCs w:val="20"/>
          <w:lang w:val="en-US"/>
        </w:rPr>
      </w:pPr>
      <w:r w:rsidRPr="00C67788">
        <w:rPr>
          <w:sz w:val="20"/>
          <w:szCs w:val="20"/>
          <w:lang w:val="en-US"/>
        </w:rPr>
        <w:t xml:space="preserve">RI, incidence of relapse; NRM, </w:t>
      </w:r>
      <w:proofErr w:type="spellStart"/>
      <w:r w:rsidRPr="00C67788">
        <w:rPr>
          <w:sz w:val="20"/>
          <w:szCs w:val="20"/>
          <w:lang w:val="en-US"/>
        </w:rPr>
        <w:t>nonrelapse</w:t>
      </w:r>
      <w:proofErr w:type="spellEnd"/>
      <w:r w:rsidRPr="00C67788">
        <w:rPr>
          <w:sz w:val="20"/>
          <w:szCs w:val="20"/>
          <w:lang w:val="en-US"/>
        </w:rPr>
        <w:t xml:space="preserve"> mortality; LFS, leukemia-free survival; OS, overall survival; GVHD, graft-versus-host disease; </w:t>
      </w:r>
      <w:proofErr w:type="spellStart"/>
      <w:r w:rsidRPr="00C67788">
        <w:rPr>
          <w:sz w:val="20"/>
          <w:szCs w:val="20"/>
          <w:lang w:val="en-US"/>
        </w:rPr>
        <w:t>cGVHD</w:t>
      </w:r>
      <w:proofErr w:type="spellEnd"/>
      <w:r w:rsidRPr="00C67788">
        <w:rPr>
          <w:sz w:val="20"/>
          <w:szCs w:val="20"/>
          <w:lang w:val="en-US"/>
        </w:rPr>
        <w:t xml:space="preserve">, chronic GVHD; HCT, hematopoietic cell transplantation; CMV, cytomegalovirus; PB, peripheral blood stem cells; BM, bone marrow; RIC, reduced-intensity conditioning; MAC, myeloablative conditioning; in vivo TCT, in vivo T-cell depletion. </w:t>
      </w:r>
    </w:p>
    <w:p w14:paraId="3BEB82AB" w14:textId="77777777" w:rsidR="00D35FCC" w:rsidRDefault="00D35FCC" w:rsidP="001B651F">
      <w:pPr>
        <w:spacing w:line="480" w:lineRule="auto"/>
        <w:jc w:val="both"/>
        <w:rPr>
          <w:rFonts w:cstheme="minorHAnsi"/>
          <w:lang w:val="en-US"/>
        </w:rPr>
      </w:pPr>
    </w:p>
    <w:sectPr w:rsidR="00D35FCC">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2F787" w14:textId="77777777" w:rsidR="00E519FE" w:rsidRDefault="00E519FE" w:rsidP="00C67788">
      <w:r>
        <w:separator/>
      </w:r>
    </w:p>
  </w:endnote>
  <w:endnote w:type="continuationSeparator" w:id="0">
    <w:p w14:paraId="697286A2" w14:textId="77777777" w:rsidR="00E519FE" w:rsidRDefault="00E519FE" w:rsidP="00C67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067177255"/>
      <w:docPartObj>
        <w:docPartGallery w:val="Page Numbers (Bottom of Page)"/>
        <w:docPartUnique/>
      </w:docPartObj>
    </w:sdtPr>
    <w:sdtContent>
      <w:p w14:paraId="290BE572" w14:textId="29D2C850" w:rsidR="00C67788" w:rsidRDefault="00C67788" w:rsidP="00A14A7C">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42E6BDCB" w14:textId="77777777" w:rsidR="00C67788" w:rsidRDefault="00C67788" w:rsidP="00C6778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994941149"/>
      <w:docPartObj>
        <w:docPartGallery w:val="Page Numbers (Bottom of Page)"/>
        <w:docPartUnique/>
      </w:docPartObj>
    </w:sdtPr>
    <w:sdtContent>
      <w:p w14:paraId="413A8644" w14:textId="67D88D7C" w:rsidR="00C67788" w:rsidRDefault="00C67788" w:rsidP="00A14A7C">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64B48F3" w14:textId="438B0152" w:rsidR="00C67788" w:rsidRPr="00C67788" w:rsidRDefault="00C67788" w:rsidP="00C67788">
    <w:pPr>
      <w:pStyle w:val="Pieddepage"/>
      <w:ind w:right="360"/>
      <w:rPr>
        <w:lang w:val="en-US"/>
      </w:rPr>
    </w:pPr>
    <w:r w:rsidRPr="00C67788">
      <w:rPr>
        <w:lang w:val="en-US"/>
      </w:rPr>
      <w:t xml:space="preserve">Baron </w:t>
    </w:r>
    <w:r w:rsidRPr="00C67788">
      <w:rPr>
        <w:i/>
        <w:iCs/>
        <w:lang w:val="en-US"/>
      </w:rPr>
      <w:t>et al.</w:t>
    </w:r>
    <w:r w:rsidRPr="00C67788">
      <w:rPr>
        <w:lang w:val="en-US"/>
      </w:rPr>
      <w:t xml:space="preserve">, Dissociation of </w:t>
    </w:r>
    <w:proofErr w:type="spellStart"/>
    <w:r w:rsidRPr="00C67788">
      <w:rPr>
        <w:lang w:val="en-US"/>
      </w:rPr>
      <w:t>GvL</w:t>
    </w:r>
    <w:proofErr w:type="spellEnd"/>
    <w:r w:rsidRPr="00C67788">
      <w:rPr>
        <w:lang w:val="en-US"/>
      </w:rPr>
      <w:t xml:space="preserve"> from GVHD with</w:t>
    </w:r>
    <w:r>
      <w:rPr>
        <w:lang w:val="en-US"/>
      </w:rPr>
      <w:t xml:space="preserve"> </w:t>
    </w:r>
    <w:proofErr w:type="spellStart"/>
    <w:proofErr w:type="gramStart"/>
    <w:r>
      <w:rPr>
        <w:lang w:val="en-US"/>
      </w:rPr>
      <w:t>PTCy</w:t>
    </w:r>
    <w:proofErr w:type="spellEnd"/>
    <w:r>
      <w:rPr>
        <w:lang w:val="en-US"/>
      </w:rPr>
      <w:t>;  Supplemental</w:t>
    </w:r>
    <w:proofErr w:type="gramEnd"/>
    <w:r>
      <w:rPr>
        <w:lang w:val="en-US"/>
      </w:rPr>
      <w:t xml:space="preserve"> data;                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9AA7" w14:textId="77777777" w:rsidR="00E519FE" w:rsidRDefault="00E519FE" w:rsidP="00C67788">
      <w:r>
        <w:separator/>
      </w:r>
    </w:p>
  </w:footnote>
  <w:footnote w:type="continuationSeparator" w:id="0">
    <w:p w14:paraId="1CB2F74A" w14:textId="77777777" w:rsidR="00E519FE" w:rsidRDefault="00E519FE" w:rsidP="00C677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E6"/>
    <w:rsid w:val="001B651F"/>
    <w:rsid w:val="004E69D6"/>
    <w:rsid w:val="005578E6"/>
    <w:rsid w:val="0072606D"/>
    <w:rsid w:val="007B3D78"/>
    <w:rsid w:val="00931D00"/>
    <w:rsid w:val="00C54644"/>
    <w:rsid w:val="00C67788"/>
    <w:rsid w:val="00D35FCC"/>
    <w:rsid w:val="00DE0AE9"/>
    <w:rsid w:val="00E519F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4:docId w14:val="47006101"/>
  <w15:chartTrackingRefBased/>
  <w15:docId w15:val="{6902E369-AB61-DF49-B4A5-84934B05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578E6"/>
    <w:rPr>
      <w:color w:val="0563C1" w:themeColor="hyperlink"/>
      <w:u w:val="single"/>
    </w:rPr>
  </w:style>
  <w:style w:type="paragraph" w:customStyle="1" w:styleId="Bibliography">
    <w:name w:val="Bibliography"/>
    <w:basedOn w:val="Normal"/>
    <w:link w:val="BibliographyCar"/>
    <w:rsid w:val="0072606D"/>
    <w:pPr>
      <w:tabs>
        <w:tab w:val="left" w:pos="260"/>
      </w:tabs>
      <w:spacing w:after="240"/>
      <w:ind w:left="264" w:hanging="264"/>
    </w:pPr>
    <w:rPr>
      <w:rFonts w:cstheme="minorHAnsi"/>
      <w:lang w:val="en-US"/>
    </w:rPr>
  </w:style>
  <w:style w:type="character" w:customStyle="1" w:styleId="BibliographyCar">
    <w:name w:val="Bibliography Car"/>
    <w:basedOn w:val="Policepardfaut"/>
    <w:link w:val="Bibliography"/>
    <w:rsid w:val="0072606D"/>
    <w:rPr>
      <w:rFonts w:cstheme="minorHAnsi"/>
      <w:lang w:val="en-US"/>
    </w:rPr>
  </w:style>
  <w:style w:type="paragraph" w:styleId="Pieddepage">
    <w:name w:val="footer"/>
    <w:basedOn w:val="Normal"/>
    <w:link w:val="PieddepageCar"/>
    <w:uiPriority w:val="99"/>
    <w:unhideWhenUsed/>
    <w:rsid w:val="00C67788"/>
    <w:pPr>
      <w:tabs>
        <w:tab w:val="center" w:pos="4536"/>
        <w:tab w:val="right" w:pos="9072"/>
      </w:tabs>
    </w:pPr>
  </w:style>
  <w:style w:type="character" w:customStyle="1" w:styleId="PieddepageCar">
    <w:name w:val="Pied de page Car"/>
    <w:basedOn w:val="Policepardfaut"/>
    <w:link w:val="Pieddepage"/>
    <w:uiPriority w:val="99"/>
    <w:rsid w:val="00C67788"/>
  </w:style>
  <w:style w:type="character" w:styleId="Numrodepage">
    <w:name w:val="page number"/>
    <w:basedOn w:val="Policepardfaut"/>
    <w:uiPriority w:val="99"/>
    <w:semiHidden/>
    <w:unhideWhenUsed/>
    <w:rsid w:val="00C67788"/>
  </w:style>
  <w:style w:type="paragraph" w:styleId="En-tte">
    <w:name w:val="header"/>
    <w:basedOn w:val="Normal"/>
    <w:link w:val="En-tteCar"/>
    <w:uiPriority w:val="99"/>
    <w:unhideWhenUsed/>
    <w:rsid w:val="00C67788"/>
    <w:pPr>
      <w:tabs>
        <w:tab w:val="center" w:pos="4536"/>
        <w:tab w:val="right" w:pos="9072"/>
      </w:tabs>
    </w:pPr>
  </w:style>
  <w:style w:type="character" w:customStyle="1" w:styleId="En-tteCar">
    <w:name w:val="En-tête Car"/>
    <w:basedOn w:val="Policepardfaut"/>
    <w:link w:val="En-tte"/>
    <w:uiPriority w:val="99"/>
    <w:rsid w:val="00C67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54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project.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5097</Words>
  <Characters>28036</Characters>
  <Application>Microsoft Office Word</Application>
  <DocSecurity>0</DocSecurity>
  <Lines>233</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Baron Frédéric</dc:creator>
  <cp:keywords/>
  <dc:description/>
  <cp:lastModifiedBy>Baron Frédéric</cp:lastModifiedBy>
  <cp:revision>1</cp:revision>
  <dcterms:created xsi:type="dcterms:W3CDTF">2022-12-02T08:36:00Z</dcterms:created>
  <dcterms:modified xsi:type="dcterms:W3CDTF">2022-12-02T14:35:00Z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id="TReQ6sbT"/&gt;&lt;style id="http://www.zotero.org/styles/bone-marrow-transplantation" hasBibliography="1" bibliographyStyleHasBeenSet="1"/&gt;&lt;prefs&gt;&lt;pref name="fieldType" value="Field"/&gt;&lt;/prefs&gt;&lt;/data&gt;</vt:lpwstr>
  </property>
</Properties>
</file>