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03732A" w14:textId="77777777" w:rsidR="00D77802" w:rsidRPr="00D77802" w:rsidRDefault="00D77802" w:rsidP="00D77802">
      <w:pPr>
        <w:pBdr>
          <w:top w:val="nil"/>
          <w:left w:val="nil"/>
          <w:bottom w:val="nil"/>
          <w:right w:val="nil"/>
          <w:between w:val="nil"/>
        </w:pBdr>
        <w:spacing w:line="480" w:lineRule="auto"/>
        <w:rPr>
          <w:rFonts w:ascii="Times New Roman" w:eastAsia="Times New Roman" w:hAnsi="Times New Roman" w:cs="Times New Roman"/>
          <w:b/>
          <w:color w:val="000000"/>
          <w:sz w:val="24"/>
          <w:szCs w:val="24"/>
        </w:rPr>
      </w:pPr>
      <w:r w:rsidRPr="00D77802">
        <w:rPr>
          <w:rFonts w:ascii="Times New Roman" w:eastAsia="Times New Roman" w:hAnsi="Times New Roman" w:cs="Times New Roman"/>
          <w:b/>
          <w:color w:val="000000"/>
          <w:sz w:val="24"/>
          <w:szCs w:val="24"/>
          <w:lang w:val="en-US"/>
        </w:rPr>
        <w:t>Steering the product spectrum in high-pressure anaerobic processes: CO</w:t>
      </w:r>
      <w:r w:rsidRPr="00D77802">
        <w:rPr>
          <w:rFonts w:ascii="Times New Roman" w:eastAsia="Times New Roman" w:hAnsi="Times New Roman" w:cs="Times New Roman"/>
          <w:b/>
          <w:color w:val="000000"/>
          <w:sz w:val="24"/>
          <w:szCs w:val="24"/>
          <w:vertAlign w:val="subscript"/>
          <w:lang w:val="en-US"/>
        </w:rPr>
        <w:t>2</w:t>
      </w:r>
      <w:r w:rsidRPr="00D77802">
        <w:rPr>
          <w:rFonts w:ascii="Times New Roman" w:eastAsia="Times New Roman" w:hAnsi="Times New Roman" w:cs="Times New Roman"/>
          <w:b/>
          <w:color w:val="000000"/>
          <w:sz w:val="24"/>
          <w:szCs w:val="24"/>
          <w:lang w:val="en-US"/>
        </w:rPr>
        <w:t xml:space="preserve"> partial pressure as a novel tool in bio-refinery concepts.</w:t>
      </w:r>
    </w:p>
    <w:p w14:paraId="6E965B30" w14:textId="6F6DDC9C" w:rsidR="002A2E2A" w:rsidRDefault="002A2E2A" w:rsidP="00E07644">
      <w:pPr>
        <w:pBdr>
          <w:top w:val="nil"/>
          <w:left w:val="nil"/>
          <w:bottom w:val="nil"/>
          <w:right w:val="nil"/>
          <w:between w:val="nil"/>
        </w:pBdr>
        <w:spacing w:line="480" w:lineRule="auto"/>
        <w:rPr>
          <w:rFonts w:ascii="Times New Roman" w:eastAsia="Times New Roman" w:hAnsi="Times New Roman" w:cs="Times New Roman"/>
          <w:color w:val="000000"/>
          <w:sz w:val="24"/>
          <w:szCs w:val="24"/>
          <w:vertAlign w:val="superscript"/>
          <w:lang w:val="nl-NL"/>
        </w:rPr>
      </w:pPr>
      <w:r w:rsidRPr="00E07644">
        <w:rPr>
          <w:rFonts w:ascii="Times New Roman" w:eastAsia="Times New Roman" w:hAnsi="Times New Roman" w:cs="Times New Roman"/>
          <w:color w:val="000000"/>
          <w:sz w:val="24"/>
          <w:szCs w:val="24"/>
          <w:lang w:val="nl-NL"/>
        </w:rPr>
        <w:t>Pamela Ceron-Chafla</w:t>
      </w:r>
      <w:r w:rsidRPr="00E07644">
        <w:rPr>
          <w:rFonts w:ascii="Times New Roman" w:eastAsia="Times New Roman" w:hAnsi="Times New Roman" w:cs="Times New Roman"/>
          <w:color w:val="000000"/>
          <w:sz w:val="24"/>
          <w:szCs w:val="24"/>
          <w:vertAlign w:val="superscript"/>
          <w:lang w:val="nl-NL"/>
        </w:rPr>
        <w:t>1*</w:t>
      </w:r>
      <w:r w:rsidRPr="00E07644">
        <w:rPr>
          <w:rFonts w:ascii="Times New Roman" w:eastAsia="Times New Roman" w:hAnsi="Times New Roman" w:cs="Times New Roman"/>
          <w:color w:val="000000"/>
          <w:sz w:val="24"/>
          <w:szCs w:val="24"/>
          <w:lang w:val="nl-NL"/>
        </w:rPr>
        <w:t>, Jo de Vrieze</w:t>
      </w:r>
      <w:r w:rsidRPr="00E07644">
        <w:rPr>
          <w:rFonts w:ascii="Times New Roman" w:eastAsia="Times New Roman" w:hAnsi="Times New Roman" w:cs="Times New Roman"/>
          <w:color w:val="000000"/>
          <w:sz w:val="24"/>
          <w:szCs w:val="24"/>
          <w:vertAlign w:val="superscript"/>
          <w:lang w:val="nl-NL"/>
        </w:rPr>
        <w:t>2</w:t>
      </w:r>
      <w:r w:rsidRPr="00E07644">
        <w:rPr>
          <w:rFonts w:ascii="Times New Roman" w:eastAsia="Times New Roman" w:hAnsi="Times New Roman" w:cs="Times New Roman"/>
          <w:color w:val="000000"/>
          <w:sz w:val="24"/>
          <w:szCs w:val="24"/>
          <w:lang w:val="nl-NL"/>
        </w:rPr>
        <w:t>, Korneel Rabaey</w:t>
      </w:r>
      <w:r w:rsidRPr="00E07644">
        <w:rPr>
          <w:rFonts w:ascii="Times New Roman" w:eastAsia="Times New Roman" w:hAnsi="Times New Roman" w:cs="Times New Roman"/>
          <w:color w:val="000000"/>
          <w:sz w:val="24"/>
          <w:szCs w:val="24"/>
          <w:vertAlign w:val="superscript"/>
          <w:lang w:val="nl-NL"/>
        </w:rPr>
        <w:t>2,3</w:t>
      </w:r>
      <w:r w:rsidRPr="00E07644">
        <w:rPr>
          <w:rFonts w:ascii="Times New Roman" w:eastAsia="Times New Roman" w:hAnsi="Times New Roman" w:cs="Times New Roman"/>
          <w:color w:val="000000"/>
          <w:sz w:val="24"/>
          <w:szCs w:val="24"/>
          <w:lang w:val="nl-NL"/>
        </w:rPr>
        <w:t>, Jules B. van Lier</w:t>
      </w:r>
      <w:r w:rsidRPr="00E07644">
        <w:rPr>
          <w:rFonts w:ascii="Times New Roman" w:eastAsia="Times New Roman" w:hAnsi="Times New Roman" w:cs="Times New Roman"/>
          <w:color w:val="000000"/>
          <w:sz w:val="24"/>
          <w:szCs w:val="24"/>
          <w:vertAlign w:val="superscript"/>
          <w:lang w:val="nl-NL"/>
        </w:rPr>
        <w:t>1</w:t>
      </w:r>
      <w:r w:rsidRPr="00E07644">
        <w:rPr>
          <w:rFonts w:ascii="Times New Roman" w:eastAsia="Times New Roman" w:hAnsi="Times New Roman" w:cs="Times New Roman"/>
          <w:color w:val="000000"/>
          <w:sz w:val="24"/>
          <w:szCs w:val="24"/>
          <w:lang w:val="nl-NL"/>
        </w:rPr>
        <w:t>, Ralph E.F. Lindeboom</w:t>
      </w:r>
      <w:r w:rsidRPr="00E07644">
        <w:rPr>
          <w:rFonts w:ascii="Times New Roman" w:eastAsia="Times New Roman" w:hAnsi="Times New Roman" w:cs="Times New Roman"/>
          <w:color w:val="000000"/>
          <w:sz w:val="24"/>
          <w:szCs w:val="24"/>
          <w:vertAlign w:val="superscript"/>
          <w:lang w:val="nl-NL"/>
        </w:rPr>
        <w:t>1</w:t>
      </w:r>
    </w:p>
    <w:p w14:paraId="73E9E20B" w14:textId="77777777" w:rsidR="00243AE0" w:rsidRPr="00243AE0" w:rsidRDefault="00243AE0" w:rsidP="00243AE0">
      <w:pPr>
        <w:pBdr>
          <w:top w:val="nil"/>
          <w:left w:val="nil"/>
          <w:bottom w:val="nil"/>
          <w:right w:val="nil"/>
          <w:between w:val="nil"/>
        </w:pBdr>
        <w:spacing w:line="480" w:lineRule="auto"/>
        <w:rPr>
          <w:rFonts w:ascii="Times New Roman" w:hAnsi="Times New Roman" w:cs="Times New Roman"/>
          <w:b/>
          <w:color w:val="000000"/>
          <w:sz w:val="24"/>
          <w:szCs w:val="24"/>
        </w:rPr>
      </w:pPr>
      <w:r w:rsidRPr="00243AE0">
        <w:rPr>
          <w:rFonts w:ascii="Times New Roman" w:hAnsi="Times New Roman" w:cs="Times New Roman"/>
          <w:color w:val="000000"/>
          <w:sz w:val="24"/>
          <w:szCs w:val="24"/>
          <w:vertAlign w:val="superscript"/>
        </w:rPr>
        <w:t>1</w:t>
      </w:r>
      <w:r w:rsidRPr="00243AE0">
        <w:rPr>
          <w:rFonts w:ascii="Times New Roman" w:hAnsi="Times New Roman" w:cs="Times New Roman"/>
          <w:color w:val="000000"/>
          <w:sz w:val="24"/>
          <w:szCs w:val="24"/>
        </w:rPr>
        <w:t xml:space="preserve"> Sanitary Engineering section, Department of Water Management, Delft University of Technology, </w:t>
      </w:r>
      <w:proofErr w:type="spellStart"/>
      <w:r w:rsidRPr="00243AE0">
        <w:rPr>
          <w:rFonts w:ascii="Times New Roman" w:hAnsi="Times New Roman" w:cs="Times New Roman"/>
          <w:color w:val="000000"/>
          <w:sz w:val="24"/>
          <w:szCs w:val="24"/>
        </w:rPr>
        <w:t>Stevinweg</w:t>
      </w:r>
      <w:proofErr w:type="spellEnd"/>
      <w:r w:rsidRPr="00243AE0">
        <w:rPr>
          <w:rFonts w:ascii="Times New Roman" w:hAnsi="Times New Roman" w:cs="Times New Roman"/>
          <w:color w:val="000000"/>
          <w:sz w:val="24"/>
          <w:szCs w:val="24"/>
        </w:rPr>
        <w:t xml:space="preserve"> 1, 2628 CN, Delft, The Netherlands.</w:t>
      </w:r>
    </w:p>
    <w:p w14:paraId="6E91A72B" w14:textId="77777777" w:rsidR="00243AE0" w:rsidRPr="00243AE0" w:rsidRDefault="00243AE0" w:rsidP="00243AE0">
      <w:pPr>
        <w:pBdr>
          <w:top w:val="nil"/>
          <w:left w:val="nil"/>
          <w:bottom w:val="nil"/>
          <w:right w:val="nil"/>
          <w:between w:val="nil"/>
        </w:pBdr>
        <w:spacing w:line="480" w:lineRule="auto"/>
        <w:rPr>
          <w:rFonts w:ascii="Times New Roman" w:hAnsi="Times New Roman" w:cs="Times New Roman"/>
          <w:color w:val="000000"/>
          <w:sz w:val="24"/>
          <w:szCs w:val="24"/>
        </w:rPr>
      </w:pPr>
      <w:r w:rsidRPr="00243AE0">
        <w:rPr>
          <w:rFonts w:ascii="Times New Roman" w:hAnsi="Times New Roman" w:cs="Times New Roman"/>
          <w:color w:val="000000"/>
          <w:sz w:val="24"/>
          <w:szCs w:val="24"/>
          <w:vertAlign w:val="superscript"/>
        </w:rPr>
        <w:t>2</w:t>
      </w:r>
      <w:r w:rsidRPr="00243AE0">
        <w:rPr>
          <w:rFonts w:ascii="Times New Roman" w:hAnsi="Times New Roman" w:cs="Times New Roman"/>
          <w:color w:val="000000"/>
          <w:sz w:val="24"/>
          <w:szCs w:val="24"/>
        </w:rPr>
        <w:t xml:space="preserve"> </w:t>
      </w:r>
      <w:proofErr w:type="spellStart"/>
      <w:r w:rsidRPr="00243AE0">
        <w:rPr>
          <w:rFonts w:ascii="Times New Roman" w:hAnsi="Times New Roman" w:cs="Times New Roman"/>
          <w:color w:val="000000"/>
          <w:sz w:val="24"/>
          <w:szCs w:val="24"/>
        </w:rPr>
        <w:t>Center</w:t>
      </w:r>
      <w:proofErr w:type="spellEnd"/>
      <w:r w:rsidRPr="00243AE0">
        <w:rPr>
          <w:rFonts w:ascii="Times New Roman" w:hAnsi="Times New Roman" w:cs="Times New Roman"/>
          <w:color w:val="000000"/>
          <w:sz w:val="24"/>
          <w:szCs w:val="24"/>
        </w:rPr>
        <w:t xml:space="preserve"> for Microbial Ecology and Technology (CMET), Ghent University, </w:t>
      </w:r>
      <w:proofErr w:type="spellStart"/>
      <w:r w:rsidRPr="00243AE0">
        <w:rPr>
          <w:rFonts w:ascii="Times New Roman" w:hAnsi="Times New Roman" w:cs="Times New Roman"/>
          <w:color w:val="000000"/>
          <w:sz w:val="24"/>
          <w:szCs w:val="24"/>
        </w:rPr>
        <w:t>Coupure</w:t>
      </w:r>
      <w:proofErr w:type="spellEnd"/>
      <w:r w:rsidRPr="00243AE0">
        <w:rPr>
          <w:rFonts w:ascii="Times New Roman" w:hAnsi="Times New Roman" w:cs="Times New Roman"/>
          <w:color w:val="000000"/>
          <w:sz w:val="24"/>
          <w:szCs w:val="24"/>
        </w:rPr>
        <w:t xml:space="preserve"> Links 653, B-9000 Ghent, Belgium</w:t>
      </w:r>
    </w:p>
    <w:p w14:paraId="64C72178" w14:textId="77777777" w:rsidR="00243AE0" w:rsidRPr="00243AE0" w:rsidRDefault="00243AE0" w:rsidP="00243AE0">
      <w:pPr>
        <w:pBdr>
          <w:top w:val="nil"/>
          <w:left w:val="nil"/>
          <w:bottom w:val="nil"/>
          <w:right w:val="nil"/>
          <w:between w:val="nil"/>
        </w:pBdr>
        <w:spacing w:line="480" w:lineRule="auto"/>
        <w:rPr>
          <w:rFonts w:ascii="Times New Roman" w:hAnsi="Times New Roman" w:cs="Times New Roman"/>
          <w:color w:val="000000"/>
          <w:sz w:val="24"/>
          <w:szCs w:val="24"/>
        </w:rPr>
      </w:pPr>
      <w:r w:rsidRPr="00243AE0">
        <w:rPr>
          <w:rFonts w:ascii="Times New Roman" w:hAnsi="Times New Roman" w:cs="Times New Roman"/>
          <w:color w:val="000000"/>
          <w:sz w:val="24"/>
          <w:szCs w:val="24"/>
          <w:vertAlign w:val="superscript"/>
        </w:rPr>
        <w:t xml:space="preserve">3 </w:t>
      </w:r>
      <w:proofErr w:type="spellStart"/>
      <w:r w:rsidRPr="00243AE0">
        <w:rPr>
          <w:rFonts w:ascii="Times New Roman" w:hAnsi="Times New Roman" w:cs="Times New Roman"/>
          <w:color w:val="000000"/>
          <w:sz w:val="24"/>
          <w:szCs w:val="24"/>
        </w:rPr>
        <w:t>Center</w:t>
      </w:r>
      <w:proofErr w:type="spellEnd"/>
      <w:r w:rsidRPr="00243AE0">
        <w:rPr>
          <w:rFonts w:ascii="Times New Roman" w:hAnsi="Times New Roman" w:cs="Times New Roman"/>
          <w:color w:val="000000"/>
          <w:sz w:val="24"/>
          <w:szCs w:val="24"/>
        </w:rPr>
        <w:t xml:space="preserve"> for Advanced Process Technology for Urban Resource Recovery (CAPTURE), </w:t>
      </w:r>
      <w:proofErr w:type="spellStart"/>
      <w:r w:rsidRPr="00243AE0">
        <w:rPr>
          <w:rFonts w:ascii="Times New Roman" w:hAnsi="Times New Roman" w:cs="Times New Roman"/>
          <w:color w:val="000000"/>
          <w:sz w:val="24"/>
          <w:szCs w:val="24"/>
        </w:rPr>
        <w:t>Coupure</w:t>
      </w:r>
      <w:proofErr w:type="spellEnd"/>
      <w:r w:rsidRPr="00243AE0">
        <w:rPr>
          <w:rFonts w:ascii="Times New Roman" w:hAnsi="Times New Roman" w:cs="Times New Roman"/>
          <w:color w:val="000000"/>
          <w:sz w:val="24"/>
          <w:szCs w:val="24"/>
        </w:rPr>
        <w:t xml:space="preserve"> Links 653, B-9000 Ghent, Belgium</w:t>
      </w:r>
    </w:p>
    <w:p w14:paraId="745044B9" w14:textId="100A5284" w:rsidR="00D77802" w:rsidRDefault="002A2E2A" w:rsidP="00E07644">
      <w:pPr>
        <w:spacing w:after="0" w:line="480" w:lineRule="auto"/>
        <w:rPr>
          <w:rFonts w:ascii="Times New Roman" w:hAnsi="Times New Roman" w:cs="Times New Roman"/>
          <w:bCs/>
          <w:sz w:val="24"/>
          <w:szCs w:val="24"/>
          <w:lang w:val="en-US"/>
        </w:rPr>
      </w:pPr>
      <w:r w:rsidRPr="00E07644">
        <w:rPr>
          <w:rFonts w:ascii="Times New Roman" w:hAnsi="Times New Roman" w:cs="Times New Roman"/>
          <w:bCs/>
          <w:sz w:val="24"/>
          <w:szCs w:val="24"/>
          <w:lang w:val="en-US"/>
        </w:rPr>
        <w:t xml:space="preserve">*Corresponding author: p.s.ceronchafla@tudelft.nl  </w:t>
      </w:r>
    </w:p>
    <w:p w14:paraId="770C5EE7" w14:textId="77777777" w:rsidR="00B0735A" w:rsidRPr="00E07644" w:rsidRDefault="00B0735A" w:rsidP="00E07644">
      <w:pPr>
        <w:spacing w:after="0" w:line="480" w:lineRule="auto"/>
        <w:rPr>
          <w:rFonts w:ascii="Times New Roman" w:hAnsi="Times New Roman" w:cs="Times New Roman"/>
          <w:bCs/>
          <w:sz w:val="24"/>
          <w:szCs w:val="24"/>
          <w:lang w:val="en-US"/>
        </w:rPr>
      </w:pPr>
    </w:p>
    <w:p w14:paraId="2B5F60EE" w14:textId="210D1CFF" w:rsidR="002A2E2A" w:rsidRPr="00E07644" w:rsidRDefault="002A2E2A" w:rsidP="00E07644">
      <w:pPr>
        <w:spacing w:line="480" w:lineRule="auto"/>
        <w:rPr>
          <w:rFonts w:ascii="Times New Roman" w:hAnsi="Times New Roman" w:cs="Times New Roman"/>
          <w:bCs/>
          <w:sz w:val="24"/>
          <w:szCs w:val="24"/>
        </w:rPr>
      </w:pPr>
      <w:r w:rsidRPr="00E07644">
        <w:rPr>
          <w:rFonts w:ascii="Times New Roman" w:hAnsi="Times New Roman" w:cs="Times New Roman"/>
          <w:bCs/>
          <w:sz w:val="24"/>
          <w:szCs w:val="24"/>
        </w:rPr>
        <w:t xml:space="preserve">Number of </w:t>
      </w:r>
      <w:r w:rsidR="000C7A0A">
        <w:rPr>
          <w:rFonts w:ascii="Times New Roman" w:hAnsi="Times New Roman" w:cs="Times New Roman"/>
          <w:bCs/>
          <w:sz w:val="24"/>
          <w:szCs w:val="24"/>
        </w:rPr>
        <w:t>tables: 2</w:t>
      </w:r>
    </w:p>
    <w:p w14:paraId="051651CC" w14:textId="77777777" w:rsidR="002A2E2A" w:rsidRPr="00E07644" w:rsidRDefault="00E212D7" w:rsidP="00E07644">
      <w:pPr>
        <w:spacing w:line="480" w:lineRule="auto"/>
        <w:rPr>
          <w:rFonts w:ascii="Times New Roman" w:hAnsi="Times New Roman" w:cs="Times New Roman"/>
          <w:bCs/>
          <w:sz w:val="24"/>
          <w:szCs w:val="24"/>
        </w:rPr>
      </w:pPr>
      <w:r>
        <w:rPr>
          <w:rFonts w:ascii="Times New Roman" w:hAnsi="Times New Roman" w:cs="Times New Roman"/>
          <w:bCs/>
          <w:sz w:val="24"/>
          <w:szCs w:val="24"/>
        </w:rPr>
        <w:t>Number of figures: 3</w:t>
      </w:r>
    </w:p>
    <w:p w14:paraId="444CAF97" w14:textId="046478A6" w:rsidR="003D5E52" w:rsidRPr="00E07644" w:rsidRDefault="00B0735A" w:rsidP="00E07644">
      <w:pPr>
        <w:spacing w:line="480" w:lineRule="auto"/>
        <w:rPr>
          <w:rFonts w:ascii="Times New Roman" w:hAnsi="Times New Roman" w:cs="Times New Roman"/>
          <w:bCs/>
          <w:sz w:val="24"/>
          <w:szCs w:val="24"/>
        </w:rPr>
      </w:pPr>
      <w:r>
        <w:rPr>
          <w:rFonts w:ascii="Times New Roman" w:hAnsi="Times New Roman" w:cs="Times New Roman"/>
          <w:bCs/>
          <w:sz w:val="24"/>
          <w:szCs w:val="24"/>
        </w:rPr>
        <w:t>Number of pages: 7</w:t>
      </w:r>
    </w:p>
    <w:p w14:paraId="4CF8FB56" w14:textId="77777777" w:rsidR="00E07644" w:rsidRPr="00E07644" w:rsidRDefault="00E07644" w:rsidP="00E07644">
      <w:pPr>
        <w:spacing w:line="480" w:lineRule="auto"/>
        <w:rPr>
          <w:rFonts w:ascii="Times New Roman" w:hAnsi="Times New Roman" w:cs="Times New Roman"/>
          <w:sz w:val="24"/>
          <w:szCs w:val="24"/>
          <w:lang w:val="en-US"/>
        </w:rPr>
      </w:pPr>
    </w:p>
    <w:p w14:paraId="06CEF706" w14:textId="5C8B2D03" w:rsidR="002A2E2A" w:rsidRPr="00E07644" w:rsidRDefault="00790FE7" w:rsidP="00E07644">
      <w:pPr>
        <w:spacing w:line="480" w:lineRule="auto"/>
        <w:rPr>
          <w:rFonts w:ascii="Times New Roman" w:eastAsiaTheme="majorEastAsia" w:hAnsi="Times New Roman" w:cs="Times New Roman"/>
          <w:b/>
          <w:spacing w:val="-10"/>
          <w:kern w:val="28"/>
          <w:sz w:val="24"/>
          <w:szCs w:val="24"/>
        </w:rPr>
      </w:pPr>
      <w:r>
        <w:rPr>
          <w:rFonts w:ascii="Times New Roman" w:eastAsiaTheme="majorEastAsia" w:hAnsi="Times New Roman" w:cs="Times New Roman"/>
          <w:b/>
          <w:spacing w:val="-10"/>
          <w:kern w:val="28"/>
          <w:sz w:val="24"/>
          <w:szCs w:val="24"/>
        </w:rPr>
        <w:t>Additional</w:t>
      </w:r>
      <w:r w:rsidR="002A2E2A" w:rsidRPr="00E07644">
        <w:rPr>
          <w:rFonts w:ascii="Times New Roman" w:eastAsiaTheme="majorEastAsia" w:hAnsi="Times New Roman" w:cs="Times New Roman"/>
          <w:b/>
          <w:spacing w:val="-10"/>
          <w:kern w:val="28"/>
          <w:sz w:val="24"/>
          <w:szCs w:val="24"/>
        </w:rPr>
        <w:t xml:space="preserve"> Materials</w:t>
      </w:r>
      <w:r w:rsidR="00E07644" w:rsidRPr="00E07644">
        <w:rPr>
          <w:rFonts w:ascii="Times New Roman" w:eastAsiaTheme="majorEastAsia" w:hAnsi="Times New Roman" w:cs="Times New Roman"/>
          <w:b/>
          <w:spacing w:val="-10"/>
          <w:kern w:val="28"/>
          <w:sz w:val="24"/>
          <w:szCs w:val="24"/>
        </w:rPr>
        <w:t xml:space="preserve"> and Methods </w:t>
      </w:r>
    </w:p>
    <w:p w14:paraId="4CE7606B" w14:textId="77777777" w:rsidR="00E07644" w:rsidRPr="00E07644" w:rsidRDefault="00E07644" w:rsidP="00E07644">
      <w:pPr>
        <w:pStyle w:val="Heading2"/>
        <w:keepNext/>
        <w:keepLines/>
        <w:numPr>
          <w:ilvl w:val="0"/>
          <w:numId w:val="0"/>
        </w:numPr>
        <w:spacing w:before="320" w:after="0"/>
        <w:contextualSpacing w:val="0"/>
        <w:jc w:val="left"/>
        <w:rPr>
          <w:rFonts w:ascii="Times New Roman" w:hAnsi="Times New Roman" w:cs="Times New Roman"/>
          <w:sz w:val="24"/>
          <w:szCs w:val="24"/>
        </w:rPr>
      </w:pPr>
      <w:r w:rsidRPr="00E07644">
        <w:rPr>
          <w:rFonts w:ascii="Times New Roman" w:hAnsi="Times New Roman" w:cs="Times New Roman"/>
          <w:sz w:val="24"/>
          <w:szCs w:val="24"/>
        </w:rPr>
        <w:t xml:space="preserve">Internal protocol for Illumina sequencing </w:t>
      </w:r>
      <w:proofErr w:type="spellStart"/>
      <w:r w:rsidRPr="00E07644">
        <w:rPr>
          <w:rFonts w:ascii="Times New Roman" w:hAnsi="Times New Roman" w:cs="Times New Roman"/>
          <w:sz w:val="24"/>
          <w:szCs w:val="24"/>
        </w:rPr>
        <w:t>Novogene</w:t>
      </w:r>
      <w:proofErr w:type="spellEnd"/>
      <w:r w:rsidRPr="00E07644">
        <w:rPr>
          <w:rFonts w:ascii="Times New Roman" w:hAnsi="Times New Roman" w:cs="Times New Roman"/>
          <w:sz w:val="24"/>
          <w:szCs w:val="24"/>
        </w:rPr>
        <w:t xml:space="preserve"> </w:t>
      </w:r>
    </w:p>
    <w:p w14:paraId="636ACE66" w14:textId="77777777" w:rsidR="00E07644" w:rsidRPr="00E07644" w:rsidRDefault="00E07644" w:rsidP="00E212D7">
      <w:pPr>
        <w:pStyle w:val="Body"/>
        <w:spacing w:after="0"/>
        <w:ind w:firstLineChars="0" w:firstLine="0"/>
        <w:rPr>
          <w:rFonts w:cs="Times New Roman"/>
          <w:szCs w:val="24"/>
          <w:lang w:val="en-US"/>
        </w:rPr>
      </w:pPr>
      <w:r w:rsidRPr="00E07644">
        <w:rPr>
          <w:rFonts w:cs="Times New Roman"/>
          <w:szCs w:val="24"/>
          <w:lang w:val="en-US"/>
        </w:rPr>
        <w:t>During the amplification, DNA concentration and purity were first monitored on 1% agarose gels and diluted to 1ng/</w:t>
      </w:r>
      <w:proofErr w:type="spellStart"/>
      <w:r w:rsidRPr="00E07644">
        <w:rPr>
          <w:rFonts w:cs="Times New Roman"/>
          <w:szCs w:val="24"/>
          <w:lang w:val="en-US"/>
        </w:rPr>
        <w:t>μL</w:t>
      </w:r>
      <w:proofErr w:type="spellEnd"/>
      <w:r w:rsidRPr="00E07644">
        <w:rPr>
          <w:rFonts w:cs="Times New Roman"/>
          <w:szCs w:val="24"/>
          <w:lang w:val="en-US"/>
        </w:rPr>
        <w:t xml:space="preserve"> by sterile water. Then, 16S </w:t>
      </w:r>
      <w:proofErr w:type="spellStart"/>
      <w:r w:rsidRPr="00E07644">
        <w:rPr>
          <w:rFonts w:cs="Times New Roman"/>
          <w:szCs w:val="24"/>
          <w:lang w:val="en-US"/>
        </w:rPr>
        <w:t>rRNA</w:t>
      </w:r>
      <w:proofErr w:type="spellEnd"/>
      <w:r w:rsidRPr="00E07644">
        <w:rPr>
          <w:rFonts w:cs="Times New Roman"/>
          <w:szCs w:val="24"/>
          <w:lang w:val="en-US"/>
        </w:rPr>
        <w:t xml:space="preserve"> genes of distinct regions (16SV3-V4) were amplified with the specific primer (e.g. 16S V4: 515F-806R). The chosen PCR products, between 400 to 450 </w:t>
      </w:r>
      <w:proofErr w:type="spellStart"/>
      <w:r w:rsidRPr="00E07644">
        <w:rPr>
          <w:rFonts w:cs="Times New Roman"/>
          <w:szCs w:val="24"/>
          <w:lang w:val="en-US"/>
        </w:rPr>
        <w:t>bp</w:t>
      </w:r>
      <w:proofErr w:type="spellEnd"/>
      <w:r w:rsidRPr="00E07644">
        <w:rPr>
          <w:rFonts w:cs="Times New Roman"/>
          <w:szCs w:val="24"/>
          <w:lang w:val="en-US"/>
        </w:rPr>
        <w:t xml:space="preserve">, were mixed in </w:t>
      </w:r>
      <w:proofErr w:type="spellStart"/>
      <w:r w:rsidRPr="00E07644">
        <w:rPr>
          <w:rFonts w:cs="Times New Roman"/>
          <w:szCs w:val="24"/>
          <w:lang w:val="en-US"/>
        </w:rPr>
        <w:t>equidensity</w:t>
      </w:r>
      <w:proofErr w:type="spellEnd"/>
      <w:r w:rsidRPr="00E07644">
        <w:rPr>
          <w:rFonts w:cs="Times New Roman"/>
          <w:szCs w:val="24"/>
          <w:lang w:val="en-US"/>
        </w:rPr>
        <w:t xml:space="preserve"> ratios. Then, the mixture PCR </w:t>
      </w:r>
      <w:r w:rsidRPr="00E07644">
        <w:rPr>
          <w:rFonts w:cs="Times New Roman"/>
          <w:szCs w:val="24"/>
          <w:lang w:val="en-US"/>
        </w:rPr>
        <w:lastRenderedPageBreak/>
        <w:t xml:space="preserve">products were purified with </w:t>
      </w:r>
      <w:proofErr w:type="spellStart"/>
      <w:r w:rsidRPr="00E07644">
        <w:rPr>
          <w:rFonts w:cs="Times New Roman"/>
          <w:szCs w:val="24"/>
          <w:lang w:val="en-US"/>
        </w:rPr>
        <w:t>Qiagen</w:t>
      </w:r>
      <w:proofErr w:type="spellEnd"/>
      <w:r w:rsidRPr="00E07644">
        <w:rPr>
          <w:rFonts w:cs="Times New Roman"/>
          <w:szCs w:val="24"/>
          <w:lang w:val="en-US"/>
        </w:rPr>
        <w:t xml:space="preserve"> Gel Extraction Kit (</w:t>
      </w:r>
      <w:proofErr w:type="spellStart"/>
      <w:r w:rsidRPr="00E07644">
        <w:rPr>
          <w:rFonts w:cs="Times New Roman"/>
          <w:szCs w:val="24"/>
          <w:lang w:val="en-US"/>
        </w:rPr>
        <w:t>Qiagen</w:t>
      </w:r>
      <w:proofErr w:type="spellEnd"/>
      <w:r w:rsidRPr="00E07644">
        <w:rPr>
          <w:rFonts w:cs="Times New Roman"/>
          <w:szCs w:val="24"/>
          <w:lang w:val="en-US"/>
        </w:rPr>
        <w:t xml:space="preserve">, Germany). The libraries of the samples, generated with </w:t>
      </w:r>
      <w:proofErr w:type="spellStart"/>
      <w:r w:rsidRPr="00E07644">
        <w:rPr>
          <w:rFonts w:cs="Times New Roman"/>
          <w:szCs w:val="24"/>
          <w:lang w:val="en-US"/>
        </w:rPr>
        <w:t>NEBNext</w:t>
      </w:r>
      <w:proofErr w:type="spellEnd"/>
      <w:r w:rsidRPr="00E07644">
        <w:rPr>
          <w:rFonts w:cs="Times New Roman"/>
          <w:szCs w:val="24"/>
          <w:lang w:val="en-US"/>
        </w:rPr>
        <w:t xml:space="preserve">® </w:t>
      </w:r>
      <w:proofErr w:type="spellStart"/>
      <w:r w:rsidRPr="00E07644">
        <w:rPr>
          <w:rFonts w:cs="Times New Roman"/>
          <w:szCs w:val="24"/>
          <w:lang w:val="en-US"/>
        </w:rPr>
        <w:t>UltraTM</w:t>
      </w:r>
      <w:proofErr w:type="spellEnd"/>
      <w:r w:rsidRPr="00E07644">
        <w:rPr>
          <w:rFonts w:cs="Times New Roman"/>
          <w:szCs w:val="24"/>
          <w:lang w:val="en-US"/>
        </w:rPr>
        <w:t> DNA Library Prep Kit for Illumina and quantified via Qubit and Q-PCR, were analyzed by the Illumina platform.</w:t>
      </w:r>
    </w:p>
    <w:p w14:paraId="137CFD9E" w14:textId="77777777" w:rsidR="00E07644" w:rsidRPr="00E07644" w:rsidRDefault="00E07644" w:rsidP="00E07644">
      <w:pPr>
        <w:pStyle w:val="Body"/>
        <w:spacing w:after="0"/>
        <w:ind w:firstLine="432"/>
        <w:rPr>
          <w:rFonts w:cs="Times New Roman"/>
          <w:szCs w:val="24"/>
          <w:lang w:val="en-US"/>
        </w:rPr>
      </w:pPr>
    </w:p>
    <w:p w14:paraId="3D1A52B7" w14:textId="26168E26" w:rsidR="00E07644" w:rsidRPr="00E07644" w:rsidRDefault="00E07644" w:rsidP="00E212D7">
      <w:pPr>
        <w:pStyle w:val="Body"/>
        <w:spacing w:after="0"/>
        <w:ind w:firstLineChars="0" w:firstLine="0"/>
        <w:rPr>
          <w:rFonts w:cs="Times New Roman"/>
          <w:szCs w:val="24"/>
          <w:lang w:val="en-US"/>
        </w:rPr>
      </w:pPr>
      <w:r w:rsidRPr="00E07644">
        <w:rPr>
          <w:rFonts w:cs="Times New Roman"/>
          <w:szCs w:val="24"/>
          <w:lang w:val="en-US"/>
        </w:rPr>
        <w:t xml:space="preserve">Paired-end reads were assigned to samples based on their unique barcode and truncated by cutting off the barcode and primer sequence. Paired-end reads were merged by FLASH </w:t>
      </w:r>
      <w:r w:rsidRPr="00E07644">
        <w:rPr>
          <w:rFonts w:cs="Times New Roman"/>
          <w:szCs w:val="24"/>
          <w:lang w:val="en-US"/>
        </w:rPr>
        <w:fldChar w:fldCharType="begin" w:fldLock="1"/>
      </w:r>
      <w:r w:rsidR="0058195D">
        <w:rPr>
          <w:rFonts w:cs="Times New Roman"/>
          <w:szCs w:val="24"/>
          <w:lang w:val="en-US"/>
        </w:rPr>
        <w:instrText>ADDIN CSL_CITATION {"citationItems":[{"id":"ITEM-1","itemData":{"DOI":"10.1093/bioinformatics/btr507","ISSN":"1367-4803, 1460-2059","PMID":"21903629","abstract":"Motivation: Next-generation sequencing technologies generate very large numbers of short reads. Even with very deep genome coverage, short read lengths cause problems in de novo assemblies. The use of paired-end libraries with a fragment size shorter than twice the read length provides an opportunity to generate much longer reads by overlapping and merging read pairs before assembling a genome. Results: We present FLASH, a fast computational tool to extend the length of short reads by overlapping paired-end reads from fragment libraries that are sufficiently short. We tested the correctness of the tool on one million simulated read pairs, and we then applied it as a pre-processor for genome assemblies of Illumina reads from the bacterium Staphylococcus aureus and human chromosome 14. FLASH correctly extended and merged reads &gt;99% of the time on simulated reads with an error rate of &lt;1%. With adequately set parameters, FLASH correctly merged reads over 90% of the time even when the reads contained up to 5% errors. When FLASH was used to extend reads prior to assembly, the resulting assemblies had substantially greater N50 lengths for both contigs and scaffolds. © The Author 2011. Published by Oxford University Press. All rights reserved.","author":[{"dropping-particle":"","family":"Magoc","given":"T","non-dropping-particle":"","parse-names":false,"suffix":""},{"dropping-particle":"","family":"Salzberg","given":"Steven L.","non-dropping-particle":"","parse-names":false,"suffix":""},{"dropping-particle":"","family":"Magoč","given":"Tanja","non-dropping-particle":"","parse-names":false,"suffix":""},{"dropping-particle":"","family":"Salzberg","given":"Steven L.","non-dropping-particle":"","parse-names":false,"suffix":""}],"container-title":"Bioinformatics","id":"ITEM-1","issue":"21","issued":{"date-parts":[["2011","10","29"]]},"language":"en","page":"2957-2963","title":"FLASH: fast length adjustment of short reads to improve genome assemblies","type":"article-journal","volume":"27"},"uris":["http://www.mendeley.com/documents/?uuid=8ffc0e97-a27a-4ca3-8db1-420749bbdb9a"]}],"mendeley":{"formattedCitation":"[1]","plainTextFormattedCitation":"[1]","previouslyFormattedCitation":"[1]"},"properties":{"noteIndex":0},"schema":"https://github.com/citation-style-language/schema/raw/master/csl-citation.json"}</w:instrText>
      </w:r>
      <w:r w:rsidRPr="00E07644">
        <w:rPr>
          <w:rFonts w:cs="Times New Roman"/>
          <w:szCs w:val="24"/>
          <w:lang w:val="en-US"/>
        </w:rPr>
        <w:fldChar w:fldCharType="separate"/>
      </w:r>
      <w:r w:rsidR="001D7B0F" w:rsidRPr="001D7B0F">
        <w:rPr>
          <w:rFonts w:cs="Times New Roman"/>
          <w:noProof/>
          <w:szCs w:val="24"/>
          <w:lang w:val="en-US"/>
        </w:rPr>
        <w:t>[1]</w:t>
      </w:r>
      <w:r w:rsidRPr="00E07644">
        <w:rPr>
          <w:rFonts w:cs="Times New Roman"/>
          <w:szCs w:val="24"/>
          <w:lang w:val="en-US"/>
        </w:rPr>
        <w:fldChar w:fldCharType="end"/>
      </w:r>
      <w:r w:rsidRPr="00E07644">
        <w:rPr>
          <w:rFonts w:cs="Times New Roman"/>
          <w:szCs w:val="24"/>
          <w:lang w:val="en-US"/>
        </w:rPr>
        <w:t xml:space="preserve">, and quality filtering on the raw tags was performed under specific filtering conditions to obtain the high-quality clean tags </w:t>
      </w:r>
      <w:r w:rsidRPr="00E07644">
        <w:rPr>
          <w:rFonts w:cs="Times New Roman"/>
          <w:szCs w:val="24"/>
          <w:lang w:val="en-US"/>
        </w:rPr>
        <w:fldChar w:fldCharType="begin" w:fldLock="1"/>
      </w:r>
      <w:r w:rsidR="0058195D">
        <w:rPr>
          <w:rFonts w:cs="Times New Roman"/>
          <w:szCs w:val="24"/>
          <w:lang w:val="en-US"/>
        </w:rPr>
        <w:instrText>ADDIN CSL_CITATION {"citationItems":[{"id":"ITEM-1","itemData":{"DOI":"10.1038/nmeth.2276","ISSN":"1548-7091, 1548-7105","author":[{"dropping-particle":"","family":"Bokulich","given":"Nicholas A","non-dropping-particle":"","parse-names":false,"suffix":""},{"dropping-particle":"","family":"Subramanian","given":"Sathish","non-dropping-particle":"","parse-names":false,"suffix":""},{"dropping-particle":"","family":"Faith","given":"Jeremiah J","non-dropping-particle":"","parse-names":false,"suffix":""},{"dropping-particle":"","family":"Gevers","given":"Dirk","non-dropping-particle":"","parse-names":false,"suffix":""},{"dropping-particle":"","family":"Gordon","given":"Jeffrey I","non-dropping-particle":"","parse-names":false,"suffix":""},{"dropping-particle":"","family":"Knight","given":"Rob","non-dropping-particle":"","parse-names":false,"suffix":""},{"dropping-particle":"","family":"Mills","given":"David A","non-dropping-particle":"","parse-names":false,"suffix":""},{"dropping-particle":"","family":"Caporaso","given":"J Gregory","non-dropping-particle":"","parse-names":false,"suffix":""}],"container-title":"Nature Methods","id":"ITEM-1","issue":"1","issued":{"date-parts":[["2013","10","29"]]},"language":"en","page":"57-59","title":"Quality-filtering vastly improves diversity estimates from Illumina amplicon sequencing","type":"article-journal","volume":"10"},"uris":["http://www.mendeley.com/documents/?uuid=72e9eb38-7717-46e7-b031-2f025cbbd9af"]}],"mendeley":{"formattedCitation":"[2]","plainTextFormattedCitation":"[2]","previouslyFormattedCitation":"[2]"},"properties":{"noteIndex":0},"schema":"https://github.com/citation-style-language/schema/raw/master/csl-citation.json"}</w:instrText>
      </w:r>
      <w:r w:rsidRPr="00E07644">
        <w:rPr>
          <w:rFonts w:cs="Times New Roman"/>
          <w:szCs w:val="24"/>
          <w:lang w:val="en-US"/>
        </w:rPr>
        <w:fldChar w:fldCharType="separate"/>
      </w:r>
      <w:r w:rsidR="001D7B0F" w:rsidRPr="001D7B0F">
        <w:rPr>
          <w:rFonts w:cs="Times New Roman"/>
          <w:noProof/>
          <w:szCs w:val="24"/>
          <w:lang w:val="en-US"/>
        </w:rPr>
        <w:t>[2]</w:t>
      </w:r>
      <w:r w:rsidRPr="00E07644">
        <w:rPr>
          <w:rFonts w:cs="Times New Roman"/>
          <w:szCs w:val="24"/>
          <w:lang w:val="en-US"/>
        </w:rPr>
        <w:fldChar w:fldCharType="end"/>
      </w:r>
      <w:r w:rsidRPr="00E07644">
        <w:rPr>
          <w:rFonts w:cs="Times New Roman"/>
          <w:szCs w:val="24"/>
          <w:lang w:val="en-US"/>
        </w:rPr>
        <w:t xml:space="preserve"> with the </w:t>
      </w:r>
      <w:proofErr w:type="spellStart"/>
      <w:r w:rsidRPr="00E07644">
        <w:rPr>
          <w:rFonts w:cs="Times New Roman"/>
          <w:szCs w:val="24"/>
          <w:lang w:val="en-US"/>
        </w:rPr>
        <w:t>Qiime</w:t>
      </w:r>
      <w:proofErr w:type="spellEnd"/>
      <w:r w:rsidRPr="00E07644">
        <w:rPr>
          <w:rFonts w:cs="Times New Roman"/>
          <w:szCs w:val="24"/>
          <w:lang w:val="en-US"/>
        </w:rPr>
        <w:t xml:space="preserve"> quality-controlled process </w:t>
      </w:r>
      <w:r w:rsidRPr="00E07644">
        <w:rPr>
          <w:rFonts w:cs="Times New Roman"/>
          <w:szCs w:val="24"/>
          <w:lang w:val="en-US"/>
        </w:rPr>
        <w:fldChar w:fldCharType="begin" w:fldLock="1"/>
      </w:r>
      <w:r w:rsidR="0058195D">
        <w:rPr>
          <w:rFonts w:cs="Times New Roman"/>
          <w:szCs w:val="24"/>
          <w:lang w:val="en-US"/>
        </w:rPr>
        <w:instrText>ADDIN CSL_CITATION {"citationItems":[{"id":"ITEM-1","itemData":{"DOI":"10.1038/nmeth.f.303","ISSN":"1548-7091, 1548-7105","author":[{"dropping-particle":"","family":"Caporaso","given":"J Gregory","non-dropping-particle":"","parse-names":false,"suffix":""},{"dropping-particle":"","family":"Kuczynski","given":"Justin","non-dropping-particle":"","parse-names":false,"suffix":""},{"dropping-particle":"","family":"Stombaugh","given":"Jesse","non-dropping-particle":"","parse-names":false,"suffix":""},{"dropping-particle":"","family":"Bittinger","given":"Kyle","non-dropping-particle":"","parse-names":false,"suffix":""},{"dropping-particle":"","family":"Bushman","given":"Frederic D","non-dropping-particle":"","parse-names":false,"suffix":""},{"dropping-particle":"","family":"Costello","given":"Elizabeth K","non-dropping-particle":"","parse-names":false,"suffix":""},{"dropping-particle":"","family":"Fierer","given":"Noah","non-dropping-particle":"","parse-names":false,"suffix":""},{"dropping-particle":"","family":"Peña","given":"Antonio Gonzalez","non-dropping-particle":"","parse-names":false,"suffix":""},{"dropping-particle":"","family":"Goodrich","given":"Julia K","non-dropping-particle":"","parse-names":false,"suffix":""},{"dropping-particle":"","family":"Gordon","given":"Jeffrey I","non-dropping-particle":"","parse-names":false,"suffix":""},{"dropping-particle":"","family":"Huttley","given":"Gavin A","non-dropping-particle":"","parse-names":false,"suffix":""},{"dropping-particle":"","family":"Kelley","given":"Scott T","non-dropping-particle":"","parse-names":false,"suffix":""},{"dropping-particle":"","family":"Knights","given":"Dan","non-dropping-particle":"","parse-names":false,"suffix":""},{"dropping-particle":"","family":"Koenig","given":"Jeremy E","non-dropping-particle":"","parse-names":false,"suffix":""},{"dropping-particle":"","family":"Ley","given":"Ruth E","non-dropping-particle":"","parse-names":false,"suffix":""},{"dropping-particle":"","family":"Lozupone","given":"Catherine A","non-dropping-particle":"","parse-names":false,"suffix":""},{"dropping-particle":"","family":"McDonald","given":"Daniel","non-dropping-particle":"","parse-names":false,"suffix":""},{"dropping-particle":"","family":"Muegge","given":"Brian D","non-dropping-particle":"","parse-names":false,"suffix":""},{"dropping-particle":"","family":"Pirrung","given":"Meg","non-dropping-particle":"","parse-names":false,"suffix":""},{"dropping-particle":"","family":"Reeder","given":"Jens","non-dropping-particle":"","parse-names":false,"suffix":""},{"dropping-particle":"","family":"Sevinsky","given":"Joel R","non-dropping-particle":"","parse-names":false,"suffix":""},{"dropping-particle":"","family":"Turnbaugh","given":"Peter J","non-dropping-particle":"","parse-names":false,"suffix":""},{"dropping-particle":"","family":"Walters","given":"William A","non-dropping-particle":"","parse-names":false,"suffix":""},{"dropping-particle":"","family":"Widmann","given":"Jeremy","non-dropping-particle":"","parse-names":false,"suffix":""},{"dropping-particle":"","family":"Yatsunenko","given":"Tanya","non-dropping-particle":"","parse-names":false,"suffix":""},{"dropping-particle":"","family":"Zaneveld","given":"Jesse","non-dropping-particle":"","parse-names":false,"suffix":""},{"dropping-particle":"","family":"Knight","given":"Rob","non-dropping-particle":"","parse-names":false,"suffix":""}],"container-title":"Nature Methods","id":"ITEM-1","issue":"5","issued":{"date-parts":[["2010","10","29"]]},"language":"en","page":"335-336","title":"QIIME allows analysis of high-throughput community sequencing data","type":"article-journal","volume":"7"},"uris":["http://www.mendeley.com/documents/?uuid=8f347f04-a0c7-48ea-9ea2-e68e16313f37"]}],"mendeley":{"formattedCitation":"[3]","plainTextFormattedCitation":"[3]","previouslyFormattedCitation":"[3]"},"properties":{"noteIndex":0},"schema":"https://github.com/citation-style-language/schema/raw/master/csl-citation.json"}</w:instrText>
      </w:r>
      <w:r w:rsidRPr="00E07644">
        <w:rPr>
          <w:rFonts w:cs="Times New Roman"/>
          <w:szCs w:val="24"/>
          <w:lang w:val="en-US"/>
        </w:rPr>
        <w:fldChar w:fldCharType="separate"/>
      </w:r>
      <w:r w:rsidR="001D7B0F" w:rsidRPr="001D7B0F">
        <w:rPr>
          <w:rFonts w:cs="Times New Roman"/>
          <w:noProof/>
          <w:szCs w:val="24"/>
          <w:lang w:val="en-US"/>
        </w:rPr>
        <w:t>[3]</w:t>
      </w:r>
      <w:r w:rsidRPr="00E07644">
        <w:rPr>
          <w:rFonts w:cs="Times New Roman"/>
          <w:szCs w:val="24"/>
          <w:lang w:val="en-US"/>
        </w:rPr>
        <w:fldChar w:fldCharType="end"/>
      </w:r>
      <w:r w:rsidRPr="00E07644">
        <w:rPr>
          <w:rFonts w:cs="Times New Roman"/>
          <w:szCs w:val="24"/>
          <w:lang w:val="en-US"/>
        </w:rPr>
        <w:t xml:space="preserve">. The effective tags were obtained after comparison with UCHIME algorithm </w:t>
      </w:r>
      <w:r w:rsidRPr="00E07644">
        <w:rPr>
          <w:rFonts w:cs="Times New Roman"/>
          <w:szCs w:val="24"/>
          <w:lang w:val="en-US"/>
        </w:rPr>
        <w:fldChar w:fldCharType="begin" w:fldLock="1"/>
      </w:r>
      <w:r w:rsidR="0058195D">
        <w:rPr>
          <w:rFonts w:cs="Times New Roman"/>
          <w:szCs w:val="24"/>
          <w:lang w:val="en-US"/>
        </w:rPr>
        <w:instrText>ADDIN CSL_CITATION {"citationItems":[{"id":"ITEM-1","itemData":{"DOI":"10.1093/bioinformatics/btr381","ISSN":"1460-2059, 1367-4803","author":[{"dropping-particle":"","family":"Edgar","given":"Robert C","non-dropping-particle":"","parse-names":false,"suffix":""},{"dropping-particle":"","family":"Haas","given":"Brian J","non-dropping-particle":"","parse-names":false,"suffix":""},{"dropping-particle":"","family":"Clemente","given":"Jose C","non-dropping-particle":"","parse-names":false,"suffix":""},{"dropping-particle":"","family":"Quince","given":"Christopher","non-dropping-particle":"","parse-names":false,"suffix":""},{"dropping-particle":"","family":"Knight","given":"Rob","non-dropping-particle":"","parse-names":false,"suffix":""}],"container-title":"Bioinformatics","id":"ITEM-1","issue":"16","issued":{"date-parts":[["2011","10","29"]]},"language":"en","page":"2194-2200","title":"UCHIME improves sensitivity and speed of chimera detection","type":"article-journal","volume":"27"},"uris":["http://www.mendeley.com/documents/?uuid=02ac2ea3-22d0-4807-9fad-9be0c9610cf1"]}],"mendeley":{"formattedCitation":"[4]","plainTextFormattedCitation":"[4]","previouslyFormattedCitation":"[4]"},"properties":{"noteIndex":0},"schema":"https://github.com/citation-style-language/schema/raw/master/csl-citation.json"}</w:instrText>
      </w:r>
      <w:r w:rsidRPr="00E07644">
        <w:rPr>
          <w:rFonts w:cs="Times New Roman"/>
          <w:szCs w:val="24"/>
          <w:lang w:val="en-US"/>
        </w:rPr>
        <w:fldChar w:fldCharType="separate"/>
      </w:r>
      <w:r w:rsidR="001D7B0F" w:rsidRPr="001D7B0F">
        <w:rPr>
          <w:rFonts w:cs="Times New Roman"/>
          <w:noProof/>
          <w:szCs w:val="24"/>
          <w:lang w:val="en-US"/>
        </w:rPr>
        <w:t>[4]</w:t>
      </w:r>
      <w:r w:rsidRPr="00E07644">
        <w:rPr>
          <w:rFonts w:cs="Times New Roman"/>
          <w:szCs w:val="24"/>
          <w:lang w:val="en-US"/>
        </w:rPr>
        <w:fldChar w:fldCharType="end"/>
      </w:r>
      <w:r w:rsidRPr="00E07644">
        <w:rPr>
          <w:rFonts w:cs="Times New Roman"/>
          <w:szCs w:val="24"/>
          <w:lang w:val="en-US"/>
        </w:rPr>
        <w:t xml:space="preserve"> the reference database, to detect chimera sequences and subsequent removal of those. </w:t>
      </w:r>
    </w:p>
    <w:p w14:paraId="35E418CA" w14:textId="77777777" w:rsidR="00E07644" w:rsidRPr="00E07644" w:rsidRDefault="00E07644" w:rsidP="005F097F">
      <w:pPr>
        <w:pStyle w:val="Body"/>
        <w:spacing w:after="0"/>
        <w:ind w:firstLine="432"/>
        <w:rPr>
          <w:rFonts w:cs="Times New Roman"/>
          <w:szCs w:val="24"/>
          <w:lang w:val="en-US"/>
        </w:rPr>
      </w:pPr>
    </w:p>
    <w:p w14:paraId="0A97BCDA" w14:textId="1F009B95" w:rsidR="00E07644" w:rsidRPr="00E07644" w:rsidRDefault="00E07644" w:rsidP="00E212D7">
      <w:pPr>
        <w:pStyle w:val="Body"/>
        <w:spacing w:after="0"/>
        <w:ind w:firstLineChars="0" w:firstLine="0"/>
        <w:rPr>
          <w:rFonts w:cs="Times New Roman"/>
          <w:szCs w:val="24"/>
          <w:lang w:val="en-US"/>
        </w:rPr>
      </w:pPr>
      <w:r w:rsidRPr="00E07644">
        <w:rPr>
          <w:rFonts w:cs="Times New Roman"/>
          <w:szCs w:val="24"/>
          <w:lang w:val="en-US"/>
        </w:rPr>
        <w:t xml:space="preserve">Sequences analysis was performed by </w:t>
      </w:r>
      <w:proofErr w:type="spellStart"/>
      <w:r w:rsidRPr="00E07644">
        <w:rPr>
          <w:rFonts w:cs="Times New Roman"/>
          <w:szCs w:val="24"/>
          <w:lang w:val="en-US"/>
        </w:rPr>
        <w:t>Uparse</w:t>
      </w:r>
      <w:proofErr w:type="spellEnd"/>
      <w:r w:rsidRPr="00E07644">
        <w:rPr>
          <w:rFonts w:cs="Times New Roman"/>
          <w:szCs w:val="24"/>
          <w:lang w:val="en-US"/>
        </w:rPr>
        <w:t xml:space="preserve"> software </w:t>
      </w:r>
      <w:r w:rsidRPr="00E07644">
        <w:rPr>
          <w:rFonts w:cs="Times New Roman"/>
          <w:szCs w:val="24"/>
          <w:lang w:val="en-US"/>
        </w:rPr>
        <w:fldChar w:fldCharType="begin" w:fldLock="1"/>
      </w:r>
      <w:r w:rsidR="0058195D">
        <w:rPr>
          <w:rFonts w:cs="Times New Roman"/>
          <w:szCs w:val="24"/>
          <w:lang w:val="en-US"/>
        </w:rPr>
        <w:instrText>ADDIN CSL_CITATION {"citationItems":[{"id":"ITEM-1","itemData":{"DOI":"10.1038/nmeth.2604","ISSN":"1548-7091, 1548-7105","author":[{"dropping-particle":"","family":"Edgar","given":"Robert C","non-dropping-particle":"","parse-names":false,"suffix":""}],"container-title":"Nature Methods","id":"ITEM-1","issue":"10","issued":{"date-parts":[["2013","10","29"]]},"language":"en","page":"996-998","title":"UPARSE: highly accurate OTU sequences from microbial amplicon reads","type":"article-journal","volume":"10"},"uris":["http://www.mendeley.com/documents/?uuid=6bd70bfe-8428-4775-ae92-6d12b5750927"]}],"mendeley":{"formattedCitation":"[5]","plainTextFormattedCitation":"[5]","previouslyFormattedCitation":"[5]"},"properties":{"noteIndex":0},"schema":"https://github.com/citation-style-language/schema/raw/master/csl-citation.json"}</w:instrText>
      </w:r>
      <w:r w:rsidRPr="00E07644">
        <w:rPr>
          <w:rFonts w:cs="Times New Roman"/>
          <w:szCs w:val="24"/>
          <w:lang w:val="en-US"/>
        </w:rPr>
        <w:fldChar w:fldCharType="separate"/>
      </w:r>
      <w:r w:rsidR="001D7B0F" w:rsidRPr="001D7B0F">
        <w:rPr>
          <w:rFonts w:cs="Times New Roman"/>
          <w:noProof/>
          <w:szCs w:val="24"/>
          <w:lang w:val="en-US"/>
        </w:rPr>
        <w:t>[5]</w:t>
      </w:r>
      <w:r w:rsidRPr="00E07644">
        <w:rPr>
          <w:rFonts w:cs="Times New Roman"/>
          <w:szCs w:val="24"/>
          <w:lang w:val="en-US"/>
        </w:rPr>
        <w:fldChar w:fldCharType="end"/>
      </w:r>
      <w:r w:rsidRPr="00E07644">
        <w:rPr>
          <w:rFonts w:cs="Times New Roman"/>
          <w:szCs w:val="24"/>
          <w:lang w:val="en-US"/>
        </w:rPr>
        <w:t xml:space="preserve">, using all the effective tags. Sequences with ≥97% similarity were assigned to the same operational taxonomic units (OTUs). The representative sequence for each OTU was screened for further annotation. For each representative sequence, </w:t>
      </w:r>
      <w:proofErr w:type="spellStart"/>
      <w:r w:rsidRPr="00E07644">
        <w:rPr>
          <w:rFonts w:cs="Times New Roman"/>
          <w:szCs w:val="24"/>
          <w:lang w:val="en-US"/>
        </w:rPr>
        <w:t>Mothur</w:t>
      </w:r>
      <w:proofErr w:type="spellEnd"/>
      <w:r w:rsidRPr="00E07644">
        <w:rPr>
          <w:rFonts w:cs="Times New Roman"/>
          <w:szCs w:val="24"/>
          <w:lang w:val="en-US"/>
        </w:rPr>
        <w:t xml:space="preserve"> software was performed against the </w:t>
      </w:r>
      <w:proofErr w:type="spellStart"/>
      <w:r w:rsidRPr="00E07644">
        <w:rPr>
          <w:rFonts w:cs="Times New Roman"/>
          <w:szCs w:val="24"/>
          <w:lang w:val="en-US"/>
        </w:rPr>
        <w:t>SSUrRNA</w:t>
      </w:r>
      <w:proofErr w:type="spellEnd"/>
      <w:r w:rsidRPr="00E07644">
        <w:rPr>
          <w:rFonts w:cs="Times New Roman"/>
          <w:szCs w:val="24"/>
          <w:lang w:val="en-US"/>
        </w:rPr>
        <w:t xml:space="preserve"> database of SILVA Database </w:t>
      </w:r>
      <w:r w:rsidRPr="00E07644">
        <w:rPr>
          <w:rFonts w:cs="Times New Roman"/>
          <w:szCs w:val="24"/>
          <w:lang w:val="en-US"/>
        </w:rPr>
        <w:fldChar w:fldCharType="begin" w:fldLock="1"/>
      </w:r>
      <w:r w:rsidR="0058195D">
        <w:rPr>
          <w:rFonts w:cs="Times New Roman"/>
          <w:szCs w:val="24"/>
          <w:lang w:val="en-US"/>
        </w:rPr>
        <w:instrText>ADDIN CSL_CITATION {"citationItems":[{"id":"ITEM-1","itemData":{"DOI":"10.1128/AEM.00062-07","ISSN":"0099-2240","PMID":"17586664","abstract":"The Ribosomal Database Project (RDP) Classifier, a naïve Bayesian classifier, can rapidly and accurately classify bacterial 16S rRNA sequences into the new higher-order taxonomy proposed in Bergey's Taxonomic Outline of the Prokaryotes (2nd ed., release 5.0, Springer-Verlag, New York, NY, 2004). It provides taxonomic assignments from domain to genus, with confidence estimates for each assignment. The majority of classifications (98%) were of high estimated confidence (≥95%) and high accuracy (98%). In addition to being tested with the corpus of 5,014 type strain sequences from Bergey's outline, the RDP Classifier was tested with a corpus of 23,095 rRNA sequences as assigned by the NCBI into their alternative higher-order taxonomy. The results from leave-one-out testing on both corpora show that the overall accuracies at all levels of confidence for near-full-length and 400-base segments were 89% or above down to the genus level, and the majority of the classification errors appear to be due to anomalies in the current taxonomies. For shorter rRNA segments, such as those that might be generated by pyrosequencing, the error rate varied greatly over the length of the 16S rRNA gene, with segments around the V2 and V4 variable regions giving the lowest error rates. The RDP Classifier is suitable both for the analysis of single rRNA sequences and for the analysis of libraries of thousands of sequences. Another related tool, RDP Library Compare, was developed to facilitate microbial-community comparison based on 16S rRNA gene sequence libraries. It combines the RDP Classifier with a statistical test to flag taxa differentially represented between samples. The RDP Classifier and RDP Library Compare are available online at http://rdp.cme.msu. edu/. Copyright © 2007, American Society for Microbiology. All Rights Reserved.","author":[{"dropping-particle":"","family":"Wang","given":"Qiong","non-dropping-particle":"","parse-names":false,"suffix":""},{"dropping-particle":"","family":"Garrity","given":"George M.","non-dropping-particle":"","parse-names":false,"suffix":""},{"dropping-particle":"","family":"Tiedje","given":"James M.","non-dropping-particle":"","parse-names":false,"suffix":""},{"dropping-particle":"","family":"Cole","given":"James R.","non-dropping-particle":"","parse-names":false,"suffix":""}],"container-title":"Applied and Environmental Microbiology","id":"ITEM-1","issue":"16","issued":{"date-parts":[["2007","10","29"]]},"language":"en","page":"5261-5267","publisher":"American Society for Microbiology","title":"Naive Bayesian Classifier for Rapid Assignment of rRNA Sequences into the New Bacterial Taxonomy","type":"article-journal","volume":"73"},"uris":["http://www.mendeley.com/documents/?uuid=b7bb0891-b8d2-4043-b50f-1bc25ea084c7"]}],"mendeley":{"formattedCitation":"[6]","plainTextFormattedCitation":"[6]","previouslyFormattedCitation":"[6]"},"properties":{"noteIndex":0},"schema":"https://github.com/citation-style-language/schema/raw/master/csl-citation.json"}</w:instrText>
      </w:r>
      <w:r w:rsidRPr="00E07644">
        <w:rPr>
          <w:rFonts w:cs="Times New Roman"/>
          <w:szCs w:val="24"/>
          <w:lang w:val="en-US"/>
        </w:rPr>
        <w:fldChar w:fldCharType="separate"/>
      </w:r>
      <w:r w:rsidR="001D7B0F" w:rsidRPr="001D7B0F">
        <w:rPr>
          <w:rFonts w:cs="Times New Roman"/>
          <w:noProof/>
          <w:szCs w:val="24"/>
          <w:lang w:val="en-US"/>
        </w:rPr>
        <w:t>[6]</w:t>
      </w:r>
      <w:r w:rsidRPr="00E07644">
        <w:rPr>
          <w:rFonts w:cs="Times New Roman"/>
          <w:szCs w:val="24"/>
          <w:lang w:val="en-US"/>
        </w:rPr>
        <w:fldChar w:fldCharType="end"/>
      </w:r>
      <w:r w:rsidRPr="00E07644">
        <w:rPr>
          <w:rFonts w:cs="Times New Roman"/>
          <w:szCs w:val="24"/>
          <w:lang w:val="en-US"/>
        </w:rPr>
        <w:t xml:space="preserve"> for species annotation at each taxonomic rank (Threshold:0.8~1) </w:t>
      </w:r>
      <w:r w:rsidRPr="00E07644">
        <w:rPr>
          <w:rFonts w:cs="Times New Roman"/>
          <w:szCs w:val="24"/>
          <w:lang w:val="en-US"/>
        </w:rPr>
        <w:fldChar w:fldCharType="begin" w:fldLock="1"/>
      </w:r>
      <w:r w:rsidR="0058195D">
        <w:rPr>
          <w:rFonts w:cs="Times New Roman"/>
          <w:szCs w:val="24"/>
          <w:lang w:val="en-US"/>
        </w:rPr>
        <w:instrText>ADDIN CSL_CITATION {"citationItems":[{"id":"ITEM-1","itemData":{"DOI":"10.1093/nar/gks1219","ISSN":"0305-1048, 1362-4962","PMID":"23193283","abstract":"SILVA (from Latin silva, forest, http://www.arb-silva.de) is a comprehensive web resource for up to date, quality-controlled databases of aligned ribosomal RNA (rRNA) gene sequences from the Bacteria, Archaea and Eukaryota domains and supplementary online services. The referred database release 111 (July 2012) contains 3194 778 small subunit and 288717 large subunit rRNA gene sequences. Since the initial description of the project, substantial new features have been introduced, including advanced quality control procedures, an improved rRNA gene aligner, online tools for probe and primer evaluation and optimized browsing, searching and downloading on the website. Furthermore, the extensively curated SILVA taxonomy and the new non-redundant SILVA datasets provide an ideal reference for high-throughput classification of data from next-generation sequencing approaches. © The Author(s) 2012.","author":[{"dropping-particle":"","family":"Quast","given":"Christian","non-dropping-particle":"","parse-names":false,"suffix":""},{"dropping-particle":"","family":"Pruesse","given":"Elmar","non-dropping-particle":"","parse-names":false,"suffix":""},{"dropping-particle":"","family":"Yilmaz","given":"Pelin","non-dropping-particle":"","parse-names":false,"suffix":""},{"dropping-particle":"","family":"Gerken","given":"Jan","non-dropping-particle":"","parse-names":false,"suffix":""},{"dropping-particle":"","family":"Schweer","given":"Timmy","non-dropping-particle":"","parse-names":false,"suffix":""},{"dropping-particle":"","family":"Yarza","given":"Pablo","non-dropping-particle":"","parse-names":false,"suffix":""},{"dropping-particle":"","family":"Peplies","given":"Jörg","non-dropping-particle":"","parse-names":false,"suffix":""},{"dropping-particle":"","family":"Glöckner","given":"Frank Oliver","non-dropping-particle":"","parse-names":false,"suffix":""}],"container-title":"Nucleic Acids Research","id":"ITEM-1","issue":"D1","issued":{"date-parts":[["2012","10","29"]]},"language":"en","page":"D590-D596","title":"The SILVA ribosomal RNA gene database project: improved data processing and web-based tools","type":"article-journal","volume":"41"},"uris":["http://www.mendeley.com/documents/?uuid=9c860a78-c2c5-4fd5-a91f-24bb73be6f65"]}],"mendeley":{"formattedCitation":"[7]","plainTextFormattedCitation":"[7]","previouslyFormattedCitation":"[7]"},"properties":{"noteIndex":0},"schema":"https://github.com/citation-style-language/schema/raw/master/csl-citation.json"}</w:instrText>
      </w:r>
      <w:r w:rsidRPr="00E07644">
        <w:rPr>
          <w:rFonts w:cs="Times New Roman"/>
          <w:szCs w:val="24"/>
          <w:lang w:val="en-US"/>
        </w:rPr>
        <w:fldChar w:fldCharType="separate"/>
      </w:r>
      <w:r w:rsidR="001D7B0F" w:rsidRPr="001D7B0F">
        <w:rPr>
          <w:rFonts w:cs="Times New Roman"/>
          <w:noProof/>
          <w:szCs w:val="24"/>
          <w:lang w:val="en-US"/>
        </w:rPr>
        <w:t>[7]</w:t>
      </w:r>
      <w:r w:rsidRPr="00E07644">
        <w:rPr>
          <w:rFonts w:cs="Times New Roman"/>
          <w:szCs w:val="24"/>
          <w:lang w:val="en-US"/>
        </w:rPr>
        <w:fldChar w:fldCharType="end"/>
      </w:r>
      <w:r w:rsidRPr="00E07644">
        <w:rPr>
          <w:rFonts w:cs="Times New Roman"/>
          <w:szCs w:val="24"/>
          <w:lang w:val="en-US"/>
        </w:rPr>
        <w:t xml:space="preserve"> (kingdom, phylum, class, order, family, genus, species). To get the phylogenetic relationship of all OTUs representative sequences, the MUSCLE algorithm </w:t>
      </w:r>
      <w:r w:rsidRPr="00E07644">
        <w:rPr>
          <w:rFonts w:cs="Times New Roman"/>
          <w:szCs w:val="24"/>
          <w:lang w:val="en-US"/>
        </w:rPr>
        <w:fldChar w:fldCharType="begin" w:fldLock="1"/>
      </w:r>
      <w:r w:rsidR="0058195D">
        <w:rPr>
          <w:rFonts w:cs="Times New Roman"/>
          <w:szCs w:val="24"/>
          <w:lang w:val="en-US"/>
        </w:rPr>
        <w:instrText>ADDIN CSL_CITATION {"citationItems":[{"id":"ITEM-1","itemData":{"DOI":"10.1093/nar/gkh340","ISSN":"1362-4962","author":[{"dropping-particle":"","family":"Edgar","given":"R C","non-dropping-particle":"","parse-names":false,"suffix":""}],"container-title":"Nucleic Acids Research","id":"ITEM-1","issue":"5","issued":{"date-parts":[["2004","10","29"]]},"language":"en","page":"1792-1797","title":"MUSCLE: multiple sequence alignment with high accuracy and high throughput","type":"article-journal","volume":"32"},"uris":["http://www.mendeley.com/documents/?uuid=5ea6e5f7-52e1-4f12-8065-a67a7a491b84"]}],"mendeley":{"formattedCitation":"[8]","plainTextFormattedCitation":"[8]","previouslyFormattedCitation":"[8]"},"properties":{"noteIndex":0},"schema":"https://github.com/citation-style-language/schema/raw/master/csl-citation.json"}</w:instrText>
      </w:r>
      <w:r w:rsidRPr="00E07644">
        <w:rPr>
          <w:rFonts w:cs="Times New Roman"/>
          <w:szCs w:val="24"/>
          <w:lang w:val="en-US"/>
        </w:rPr>
        <w:fldChar w:fldCharType="separate"/>
      </w:r>
      <w:r w:rsidR="001D7B0F" w:rsidRPr="001D7B0F">
        <w:rPr>
          <w:rFonts w:cs="Times New Roman"/>
          <w:noProof/>
          <w:szCs w:val="24"/>
          <w:lang w:val="en-US"/>
        </w:rPr>
        <w:t>[8]</w:t>
      </w:r>
      <w:r w:rsidRPr="00E07644">
        <w:rPr>
          <w:rFonts w:cs="Times New Roman"/>
          <w:szCs w:val="24"/>
          <w:lang w:val="en-US"/>
        </w:rPr>
        <w:fldChar w:fldCharType="end"/>
      </w:r>
      <w:r w:rsidRPr="00E07644">
        <w:rPr>
          <w:rFonts w:cs="Times New Roman"/>
          <w:szCs w:val="24"/>
          <w:lang w:val="en-US"/>
        </w:rPr>
        <w:t xml:space="preserve"> was applied to compare multiple sequences. OTUs abundance information was normalized using a standard of sequence number corresponding to the sample with the least sequences. </w:t>
      </w:r>
    </w:p>
    <w:p w14:paraId="48781C54" w14:textId="1A129880" w:rsidR="00243AE0" w:rsidRDefault="00243AE0" w:rsidP="00E212D7">
      <w:pPr>
        <w:spacing w:line="480" w:lineRule="auto"/>
        <w:rPr>
          <w:rFonts w:ascii="Times New Roman" w:hAnsi="Times New Roman" w:cs="Times New Roman"/>
          <w:sz w:val="24"/>
          <w:szCs w:val="24"/>
          <w:lang w:val="en-US"/>
        </w:rPr>
      </w:pPr>
    </w:p>
    <w:p w14:paraId="567118ED" w14:textId="7AD34287" w:rsidR="00B0735A" w:rsidRDefault="00B0735A" w:rsidP="00E212D7">
      <w:pPr>
        <w:spacing w:line="480" w:lineRule="auto"/>
        <w:rPr>
          <w:rFonts w:ascii="Times New Roman" w:hAnsi="Times New Roman" w:cs="Times New Roman"/>
          <w:sz w:val="24"/>
          <w:szCs w:val="24"/>
          <w:lang w:val="en-US"/>
        </w:rPr>
      </w:pPr>
    </w:p>
    <w:p w14:paraId="15AC2B95" w14:textId="7F23D05E" w:rsidR="00B0735A" w:rsidRDefault="00B0735A" w:rsidP="00E212D7">
      <w:pPr>
        <w:spacing w:line="480" w:lineRule="auto"/>
        <w:rPr>
          <w:rFonts w:ascii="Times New Roman" w:hAnsi="Times New Roman" w:cs="Times New Roman"/>
          <w:sz w:val="24"/>
          <w:szCs w:val="24"/>
          <w:lang w:val="en-US"/>
        </w:rPr>
      </w:pPr>
    </w:p>
    <w:p w14:paraId="1BFDB27E" w14:textId="52B8C0DE" w:rsidR="00B0735A" w:rsidRDefault="00B0735A" w:rsidP="00E212D7">
      <w:pPr>
        <w:spacing w:line="480" w:lineRule="auto"/>
        <w:rPr>
          <w:rFonts w:ascii="Times New Roman" w:hAnsi="Times New Roman" w:cs="Times New Roman"/>
          <w:sz w:val="24"/>
          <w:szCs w:val="24"/>
          <w:lang w:val="en-US"/>
        </w:rPr>
      </w:pPr>
    </w:p>
    <w:p w14:paraId="50A7041D" w14:textId="32B27B94" w:rsidR="00E212D7" w:rsidRPr="00E07644" w:rsidRDefault="00790FE7" w:rsidP="00E212D7">
      <w:pPr>
        <w:spacing w:line="480" w:lineRule="auto"/>
        <w:rPr>
          <w:rFonts w:ascii="Times New Roman" w:eastAsiaTheme="majorEastAsia" w:hAnsi="Times New Roman" w:cs="Times New Roman"/>
          <w:b/>
          <w:spacing w:val="-10"/>
          <w:kern w:val="28"/>
          <w:sz w:val="24"/>
          <w:szCs w:val="24"/>
        </w:rPr>
      </w:pPr>
      <w:bookmarkStart w:id="0" w:name="_GoBack"/>
      <w:bookmarkEnd w:id="0"/>
      <w:r>
        <w:rPr>
          <w:rFonts w:ascii="Times New Roman" w:eastAsiaTheme="majorEastAsia" w:hAnsi="Times New Roman" w:cs="Times New Roman"/>
          <w:b/>
          <w:spacing w:val="-10"/>
          <w:kern w:val="28"/>
          <w:sz w:val="24"/>
          <w:szCs w:val="24"/>
        </w:rPr>
        <w:lastRenderedPageBreak/>
        <w:t>Additional</w:t>
      </w:r>
      <w:r w:rsidR="00E212D7" w:rsidRPr="00E07644">
        <w:rPr>
          <w:rFonts w:ascii="Times New Roman" w:eastAsiaTheme="majorEastAsia" w:hAnsi="Times New Roman" w:cs="Times New Roman"/>
          <w:b/>
          <w:spacing w:val="-10"/>
          <w:kern w:val="28"/>
          <w:sz w:val="24"/>
          <w:szCs w:val="24"/>
        </w:rPr>
        <w:t xml:space="preserve"> </w:t>
      </w:r>
      <w:r w:rsidR="00E212D7">
        <w:rPr>
          <w:rFonts w:ascii="Times New Roman" w:eastAsiaTheme="majorEastAsia" w:hAnsi="Times New Roman" w:cs="Times New Roman"/>
          <w:b/>
          <w:spacing w:val="-10"/>
          <w:kern w:val="28"/>
          <w:sz w:val="24"/>
          <w:szCs w:val="24"/>
        </w:rPr>
        <w:t xml:space="preserve">Tables and figures </w:t>
      </w:r>
    </w:p>
    <w:p w14:paraId="3255B06A" w14:textId="6D4A5194" w:rsidR="00E5002F" w:rsidRPr="00E5002F" w:rsidRDefault="00E5002F" w:rsidP="005F097F">
      <w:pPr>
        <w:spacing w:line="480" w:lineRule="auto"/>
        <w:rPr>
          <w:rFonts w:ascii="Times New Roman" w:hAnsi="Times New Roman" w:cs="Times New Roman"/>
          <w:sz w:val="24"/>
          <w:szCs w:val="24"/>
        </w:rPr>
      </w:pPr>
      <w:r w:rsidRPr="000C7A0A">
        <w:rPr>
          <w:rFonts w:ascii="Times New Roman" w:hAnsi="Times New Roman" w:cs="Times New Roman"/>
          <w:b/>
          <w:sz w:val="24"/>
          <w:szCs w:val="24"/>
        </w:rPr>
        <w:t xml:space="preserve">Table </w:t>
      </w:r>
      <w:r w:rsidR="00D77802">
        <w:rPr>
          <w:rFonts w:ascii="Times New Roman" w:hAnsi="Times New Roman" w:cs="Times New Roman"/>
          <w:b/>
          <w:sz w:val="24"/>
          <w:szCs w:val="24"/>
        </w:rPr>
        <w:t>S</w:t>
      </w:r>
      <w:r w:rsidRPr="000C7A0A">
        <w:rPr>
          <w:rFonts w:ascii="Times New Roman" w:hAnsi="Times New Roman" w:cs="Times New Roman"/>
          <w:b/>
          <w:sz w:val="24"/>
          <w:szCs w:val="24"/>
        </w:rPr>
        <w:fldChar w:fldCharType="begin"/>
      </w:r>
      <w:r w:rsidRPr="000C7A0A">
        <w:rPr>
          <w:rFonts w:ascii="Times New Roman" w:hAnsi="Times New Roman" w:cs="Times New Roman"/>
          <w:b/>
          <w:sz w:val="24"/>
          <w:szCs w:val="24"/>
        </w:rPr>
        <w:instrText xml:space="preserve"> SEQ Table \* ARABIC </w:instrText>
      </w:r>
      <w:r w:rsidRPr="000C7A0A">
        <w:rPr>
          <w:rFonts w:ascii="Times New Roman" w:hAnsi="Times New Roman" w:cs="Times New Roman"/>
          <w:b/>
          <w:sz w:val="24"/>
          <w:szCs w:val="24"/>
        </w:rPr>
        <w:fldChar w:fldCharType="separate"/>
      </w:r>
      <w:r w:rsidRPr="000C7A0A">
        <w:rPr>
          <w:rFonts w:ascii="Times New Roman" w:hAnsi="Times New Roman" w:cs="Times New Roman"/>
          <w:b/>
          <w:noProof/>
          <w:sz w:val="24"/>
          <w:szCs w:val="24"/>
        </w:rPr>
        <w:t>1</w:t>
      </w:r>
      <w:r w:rsidRPr="000C7A0A">
        <w:rPr>
          <w:rFonts w:ascii="Times New Roman" w:hAnsi="Times New Roman" w:cs="Times New Roman"/>
          <w:b/>
          <w:sz w:val="24"/>
          <w:szCs w:val="24"/>
        </w:rPr>
        <w:fldChar w:fldCharType="end"/>
      </w:r>
      <w:r w:rsidRPr="000C7A0A">
        <w:rPr>
          <w:rFonts w:ascii="Times New Roman" w:hAnsi="Times New Roman" w:cs="Times New Roman"/>
          <w:b/>
          <w:sz w:val="24"/>
          <w:szCs w:val="24"/>
        </w:rPr>
        <w:t>:</w:t>
      </w:r>
      <w:r w:rsidRPr="00E5002F">
        <w:rPr>
          <w:rFonts w:ascii="Times New Roman" w:hAnsi="Times New Roman" w:cs="Times New Roman"/>
          <w:sz w:val="24"/>
          <w:szCs w:val="24"/>
        </w:rPr>
        <w:t xml:space="preserve"> </w:t>
      </w:r>
      <w:r w:rsidRPr="00E5002F">
        <w:rPr>
          <w:rFonts w:ascii="Times New Roman" w:hAnsi="Times New Roman" w:cs="Times New Roman"/>
          <w:sz w:val="24"/>
          <w:szCs w:val="24"/>
          <w:lang w:val="en-US"/>
        </w:rPr>
        <w:t>Relative abundance of total Bacteria and Archaea for the different experimental conditions in Experiment II. Values for treatment mixed substrate treatment (GG_</w:t>
      </w:r>
      <w:r w:rsidRPr="00E5002F">
        <w:rPr>
          <w:rFonts w:ascii="Times New Roman" w:hAnsi="Times New Roman" w:cs="Times New Roman"/>
          <w:sz w:val="24"/>
          <w:szCs w:val="24"/>
        </w:rPr>
        <w:t>CO2)</w:t>
      </w:r>
      <w:r w:rsidRPr="00E5002F">
        <w:rPr>
          <w:rFonts w:ascii="Times New Roman" w:hAnsi="Times New Roman" w:cs="Times New Roman"/>
          <w:sz w:val="24"/>
          <w:szCs w:val="24"/>
          <w:lang w:val="en-US"/>
        </w:rPr>
        <w:t xml:space="preserve"> correspond to the average of (n=3) biological replicates</w:t>
      </w:r>
    </w:p>
    <w:tbl>
      <w:tblPr>
        <w:tblStyle w:val="ListTable3"/>
        <w:tblW w:w="0" w:type="auto"/>
        <w:tblLook w:val="04A0" w:firstRow="1" w:lastRow="0" w:firstColumn="1" w:lastColumn="0" w:noHBand="0" w:noVBand="1"/>
      </w:tblPr>
      <w:tblGrid>
        <w:gridCol w:w="1204"/>
        <w:gridCol w:w="855"/>
        <w:gridCol w:w="855"/>
        <w:gridCol w:w="855"/>
        <w:gridCol w:w="587"/>
        <w:gridCol w:w="587"/>
        <w:gridCol w:w="587"/>
        <w:gridCol w:w="587"/>
        <w:gridCol w:w="587"/>
        <w:gridCol w:w="587"/>
        <w:gridCol w:w="575"/>
        <w:gridCol w:w="575"/>
        <w:gridCol w:w="575"/>
      </w:tblGrid>
      <w:tr w:rsidR="00E5002F" w:rsidRPr="005F097F" w14:paraId="0A1ADC52" w14:textId="77777777" w:rsidTr="00C00CF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04" w:type="dxa"/>
          </w:tcPr>
          <w:p w14:paraId="1C5DB138" w14:textId="77777777" w:rsidR="00E5002F" w:rsidRPr="005F097F" w:rsidRDefault="00E5002F" w:rsidP="005F097F">
            <w:pPr>
              <w:spacing w:line="480" w:lineRule="auto"/>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Condition</w:t>
            </w:r>
          </w:p>
        </w:tc>
        <w:tc>
          <w:tcPr>
            <w:tcW w:w="2565" w:type="dxa"/>
            <w:gridSpan w:val="3"/>
          </w:tcPr>
          <w:p w14:paraId="51647B99" w14:textId="77777777" w:rsidR="00E5002F" w:rsidRPr="005F097F" w:rsidRDefault="00E5002F" w:rsidP="005F097F">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sz w:val="18"/>
                <w:szCs w:val="18"/>
                <w:lang w:val="en-US"/>
              </w:rPr>
              <w:t>GG_</w:t>
            </w:r>
            <w:r w:rsidRPr="005F097F">
              <w:rPr>
                <w:rFonts w:ascii="Times New Roman" w:hAnsi="Times New Roman" w:cs="Times New Roman"/>
                <w:sz w:val="18"/>
                <w:szCs w:val="18"/>
              </w:rPr>
              <w:t>CO2</w:t>
            </w:r>
          </w:p>
        </w:tc>
        <w:tc>
          <w:tcPr>
            <w:tcW w:w="1761" w:type="dxa"/>
            <w:gridSpan w:val="3"/>
          </w:tcPr>
          <w:p w14:paraId="16E676A6" w14:textId="77777777" w:rsidR="00E5002F" w:rsidRPr="005F097F" w:rsidRDefault="00E5002F" w:rsidP="005F097F">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GG_N2</w:t>
            </w:r>
          </w:p>
        </w:tc>
        <w:tc>
          <w:tcPr>
            <w:tcW w:w="1761" w:type="dxa"/>
            <w:gridSpan w:val="3"/>
          </w:tcPr>
          <w:p w14:paraId="22627E85" w14:textId="77777777" w:rsidR="00E5002F" w:rsidRPr="005F097F" w:rsidRDefault="00E5002F" w:rsidP="005F097F">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sz w:val="18"/>
                <w:szCs w:val="18"/>
                <w:lang w:val="en-US"/>
              </w:rPr>
              <w:t>GLY_</w:t>
            </w:r>
            <w:r w:rsidRPr="005F097F">
              <w:rPr>
                <w:rFonts w:ascii="Times New Roman" w:hAnsi="Times New Roman" w:cs="Times New Roman"/>
                <w:sz w:val="18"/>
                <w:szCs w:val="18"/>
              </w:rPr>
              <w:t>CO2</w:t>
            </w:r>
          </w:p>
        </w:tc>
        <w:tc>
          <w:tcPr>
            <w:tcW w:w="1725" w:type="dxa"/>
            <w:gridSpan w:val="3"/>
          </w:tcPr>
          <w:p w14:paraId="379C8158" w14:textId="77777777" w:rsidR="00E5002F" w:rsidRPr="005F097F" w:rsidRDefault="00E5002F" w:rsidP="005F097F">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sz w:val="18"/>
                <w:szCs w:val="18"/>
                <w:lang w:val="en-US"/>
              </w:rPr>
              <w:t>GLU_</w:t>
            </w:r>
            <w:r w:rsidRPr="005F097F">
              <w:rPr>
                <w:rFonts w:ascii="Times New Roman" w:hAnsi="Times New Roman" w:cs="Times New Roman"/>
                <w:sz w:val="18"/>
                <w:szCs w:val="18"/>
              </w:rPr>
              <w:t>CO2</w:t>
            </w:r>
          </w:p>
        </w:tc>
      </w:tr>
      <w:tr w:rsidR="00E5002F" w:rsidRPr="005F097F" w14:paraId="0E6EF637" w14:textId="77777777" w:rsidTr="00C00C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4" w:type="dxa"/>
          </w:tcPr>
          <w:p w14:paraId="4382F6FA" w14:textId="77777777" w:rsidR="00E5002F" w:rsidRPr="005F097F" w:rsidRDefault="00E5002F" w:rsidP="005F097F">
            <w:pPr>
              <w:spacing w:line="480" w:lineRule="auto"/>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Experiment</w:t>
            </w:r>
          </w:p>
        </w:tc>
        <w:tc>
          <w:tcPr>
            <w:tcW w:w="855" w:type="dxa"/>
          </w:tcPr>
          <w:p w14:paraId="1249AFB6"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II-A</w:t>
            </w:r>
          </w:p>
        </w:tc>
        <w:tc>
          <w:tcPr>
            <w:tcW w:w="855" w:type="dxa"/>
          </w:tcPr>
          <w:p w14:paraId="2FE69942"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II-B</w:t>
            </w:r>
          </w:p>
        </w:tc>
        <w:tc>
          <w:tcPr>
            <w:tcW w:w="855" w:type="dxa"/>
          </w:tcPr>
          <w:p w14:paraId="3C923F09"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II-C</w:t>
            </w:r>
          </w:p>
        </w:tc>
        <w:tc>
          <w:tcPr>
            <w:tcW w:w="587" w:type="dxa"/>
          </w:tcPr>
          <w:p w14:paraId="51890FBD"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II-A</w:t>
            </w:r>
          </w:p>
        </w:tc>
        <w:tc>
          <w:tcPr>
            <w:tcW w:w="587" w:type="dxa"/>
          </w:tcPr>
          <w:p w14:paraId="122DACD7"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II-B</w:t>
            </w:r>
          </w:p>
        </w:tc>
        <w:tc>
          <w:tcPr>
            <w:tcW w:w="587" w:type="dxa"/>
          </w:tcPr>
          <w:p w14:paraId="7D4C6C26"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II-C</w:t>
            </w:r>
          </w:p>
        </w:tc>
        <w:tc>
          <w:tcPr>
            <w:tcW w:w="587" w:type="dxa"/>
          </w:tcPr>
          <w:p w14:paraId="77DDE8E9"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II-A</w:t>
            </w:r>
          </w:p>
        </w:tc>
        <w:tc>
          <w:tcPr>
            <w:tcW w:w="587" w:type="dxa"/>
          </w:tcPr>
          <w:p w14:paraId="173D1D45"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II-B</w:t>
            </w:r>
          </w:p>
        </w:tc>
        <w:tc>
          <w:tcPr>
            <w:tcW w:w="587" w:type="dxa"/>
          </w:tcPr>
          <w:p w14:paraId="1E98A5D4"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II-C</w:t>
            </w:r>
          </w:p>
        </w:tc>
        <w:tc>
          <w:tcPr>
            <w:tcW w:w="575" w:type="dxa"/>
          </w:tcPr>
          <w:p w14:paraId="611E6D9C"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II-A</w:t>
            </w:r>
          </w:p>
        </w:tc>
        <w:tc>
          <w:tcPr>
            <w:tcW w:w="575" w:type="dxa"/>
          </w:tcPr>
          <w:p w14:paraId="675FF155"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II-B</w:t>
            </w:r>
          </w:p>
        </w:tc>
        <w:tc>
          <w:tcPr>
            <w:tcW w:w="575" w:type="dxa"/>
          </w:tcPr>
          <w:p w14:paraId="66BA26CA"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II-C</w:t>
            </w:r>
          </w:p>
        </w:tc>
      </w:tr>
      <w:tr w:rsidR="00E5002F" w:rsidRPr="005F097F" w14:paraId="291A6F8D" w14:textId="77777777" w:rsidTr="00C00CF9">
        <w:tc>
          <w:tcPr>
            <w:cnfStyle w:val="001000000000" w:firstRow="0" w:lastRow="0" w:firstColumn="1" w:lastColumn="0" w:oddVBand="0" w:evenVBand="0" w:oddHBand="0" w:evenHBand="0" w:firstRowFirstColumn="0" w:firstRowLastColumn="0" w:lastRowFirstColumn="0" w:lastRowLastColumn="0"/>
            <w:tcW w:w="1204" w:type="dxa"/>
          </w:tcPr>
          <w:p w14:paraId="51E865DC" w14:textId="77777777" w:rsidR="00E5002F" w:rsidRPr="005F097F" w:rsidRDefault="00E5002F" w:rsidP="005F097F">
            <w:pPr>
              <w:spacing w:line="480" w:lineRule="auto"/>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Archaea</w:t>
            </w:r>
          </w:p>
        </w:tc>
        <w:tc>
          <w:tcPr>
            <w:tcW w:w="855" w:type="dxa"/>
          </w:tcPr>
          <w:p w14:paraId="5B988682"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5.5±1.3</w:t>
            </w:r>
          </w:p>
        </w:tc>
        <w:tc>
          <w:tcPr>
            <w:tcW w:w="855" w:type="dxa"/>
          </w:tcPr>
          <w:p w14:paraId="056CFE0D"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18.1±1.4</w:t>
            </w:r>
          </w:p>
        </w:tc>
        <w:tc>
          <w:tcPr>
            <w:tcW w:w="855" w:type="dxa"/>
          </w:tcPr>
          <w:p w14:paraId="415ADD83"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20.3±2.3</w:t>
            </w:r>
          </w:p>
        </w:tc>
        <w:tc>
          <w:tcPr>
            <w:tcW w:w="587" w:type="dxa"/>
          </w:tcPr>
          <w:p w14:paraId="55F0CB8C"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3.8</w:t>
            </w:r>
          </w:p>
        </w:tc>
        <w:tc>
          <w:tcPr>
            <w:tcW w:w="587" w:type="dxa"/>
          </w:tcPr>
          <w:p w14:paraId="11BD955A"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19.3</w:t>
            </w:r>
          </w:p>
        </w:tc>
        <w:tc>
          <w:tcPr>
            <w:tcW w:w="587" w:type="dxa"/>
          </w:tcPr>
          <w:p w14:paraId="311748DB"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9.7</w:t>
            </w:r>
          </w:p>
        </w:tc>
        <w:tc>
          <w:tcPr>
            <w:tcW w:w="587" w:type="dxa"/>
          </w:tcPr>
          <w:p w14:paraId="6552C502"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14.1</w:t>
            </w:r>
          </w:p>
        </w:tc>
        <w:tc>
          <w:tcPr>
            <w:tcW w:w="587" w:type="dxa"/>
          </w:tcPr>
          <w:p w14:paraId="335CDA8F"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8.8</w:t>
            </w:r>
          </w:p>
        </w:tc>
        <w:tc>
          <w:tcPr>
            <w:tcW w:w="587" w:type="dxa"/>
          </w:tcPr>
          <w:p w14:paraId="0C396AF5"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18.2</w:t>
            </w:r>
          </w:p>
        </w:tc>
        <w:tc>
          <w:tcPr>
            <w:tcW w:w="575" w:type="dxa"/>
          </w:tcPr>
          <w:p w14:paraId="11C8E5AA"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16.0</w:t>
            </w:r>
          </w:p>
        </w:tc>
        <w:tc>
          <w:tcPr>
            <w:tcW w:w="575" w:type="dxa"/>
          </w:tcPr>
          <w:p w14:paraId="631F681F"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13.9</w:t>
            </w:r>
          </w:p>
        </w:tc>
        <w:tc>
          <w:tcPr>
            <w:tcW w:w="575" w:type="dxa"/>
          </w:tcPr>
          <w:p w14:paraId="46EA6466" w14:textId="77777777" w:rsidR="00E5002F" w:rsidRPr="005F097F" w:rsidRDefault="00E5002F" w:rsidP="005F097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23.2</w:t>
            </w:r>
          </w:p>
        </w:tc>
      </w:tr>
      <w:tr w:rsidR="00E5002F" w:rsidRPr="005F097F" w14:paraId="65F652BA" w14:textId="77777777" w:rsidTr="00C00C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4" w:type="dxa"/>
          </w:tcPr>
          <w:p w14:paraId="76364D89" w14:textId="77777777" w:rsidR="00E5002F" w:rsidRPr="005F097F" w:rsidRDefault="00E5002F" w:rsidP="005F097F">
            <w:pPr>
              <w:spacing w:line="480" w:lineRule="auto"/>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Bacteria</w:t>
            </w:r>
          </w:p>
        </w:tc>
        <w:tc>
          <w:tcPr>
            <w:tcW w:w="855" w:type="dxa"/>
          </w:tcPr>
          <w:p w14:paraId="1C496E64"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94.5±1.2</w:t>
            </w:r>
          </w:p>
        </w:tc>
        <w:tc>
          <w:tcPr>
            <w:tcW w:w="855" w:type="dxa"/>
          </w:tcPr>
          <w:p w14:paraId="481CC247"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81.9±1.4</w:t>
            </w:r>
          </w:p>
        </w:tc>
        <w:tc>
          <w:tcPr>
            <w:tcW w:w="855" w:type="dxa"/>
          </w:tcPr>
          <w:p w14:paraId="1255F05E"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79.7±0.0</w:t>
            </w:r>
          </w:p>
        </w:tc>
        <w:tc>
          <w:tcPr>
            <w:tcW w:w="587" w:type="dxa"/>
          </w:tcPr>
          <w:p w14:paraId="05F30012"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96.1</w:t>
            </w:r>
          </w:p>
        </w:tc>
        <w:tc>
          <w:tcPr>
            <w:tcW w:w="587" w:type="dxa"/>
          </w:tcPr>
          <w:p w14:paraId="565675AC"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80.7</w:t>
            </w:r>
          </w:p>
        </w:tc>
        <w:tc>
          <w:tcPr>
            <w:tcW w:w="587" w:type="dxa"/>
          </w:tcPr>
          <w:p w14:paraId="4DED3E18"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90.3</w:t>
            </w:r>
          </w:p>
        </w:tc>
        <w:tc>
          <w:tcPr>
            <w:tcW w:w="587" w:type="dxa"/>
          </w:tcPr>
          <w:p w14:paraId="21740D2A"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85.9</w:t>
            </w:r>
          </w:p>
        </w:tc>
        <w:tc>
          <w:tcPr>
            <w:tcW w:w="587" w:type="dxa"/>
          </w:tcPr>
          <w:p w14:paraId="7C29D40E"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91.2</w:t>
            </w:r>
          </w:p>
        </w:tc>
        <w:tc>
          <w:tcPr>
            <w:tcW w:w="587" w:type="dxa"/>
          </w:tcPr>
          <w:p w14:paraId="6BB90815"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81.8</w:t>
            </w:r>
          </w:p>
        </w:tc>
        <w:tc>
          <w:tcPr>
            <w:tcW w:w="575" w:type="dxa"/>
          </w:tcPr>
          <w:p w14:paraId="3477F628"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84.0</w:t>
            </w:r>
          </w:p>
        </w:tc>
        <w:tc>
          <w:tcPr>
            <w:tcW w:w="575" w:type="dxa"/>
          </w:tcPr>
          <w:p w14:paraId="792B1EFD"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86.1</w:t>
            </w:r>
          </w:p>
        </w:tc>
        <w:tc>
          <w:tcPr>
            <w:tcW w:w="575" w:type="dxa"/>
          </w:tcPr>
          <w:p w14:paraId="0650D489" w14:textId="77777777" w:rsidR="00E5002F" w:rsidRPr="005F097F" w:rsidRDefault="00E5002F" w:rsidP="005F097F">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18"/>
                <w:szCs w:val="18"/>
                <w:lang w:val="en-US" w:eastAsia="nl-NL"/>
              </w:rPr>
            </w:pPr>
            <w:r w:rsidRPr="005F097F">
              <w:rPr>
                <w:rFonts w:ascii="Times New Roman" w:hAnsi="Times New Roman" w:cs="Times New Roman"/>
                <w:noProof/>
                <w:sz w:val="18"/>
                <w:szCs w:val="18"/>
                <w:lang w:val="en-US" w:eastAsia="nl-NL"/>
              </w:rPr>
              <w:t>76.8</w:t>
            </w:r>
          </w:p>
        </w:tc>
      </w:tr>
    </w:tbl>
    <w:p w14:paraId="35D083EF" w14:textId="77777777" w:rsidR="00E5002F" w:rsidRDefault="00E5002F" w:rsidP="005F097F">
      <w:pPr>
        <w:spacing w:after="200" w:line="480" w:lineRule="auto"/>
        <w:rPr>
          <w:rFonts w:ascii="Times New Roman" w:hAnsi="Times New Roman" w:cs="Times New Roman"/>
          <w:sz w:val="24"/>
          <w:szCs w:val="24"/>
          <w:lang w:val="en-US"/>
        </w:rPr>
      </w:pPr>
    </w:p>
    <w:p w14:paraId="1B6243EA" w14:textId="77777777" w:rsidR="00E5002F" w:rsidRPr="00F3096C" w:rsidRDefault="00732864" w:rsidP="005F097F">
      <w:pPr>
        <w:keepNext/>
        <w:spacing w:line="480" w:lineRule="auto"/>
        <w:jc w:val="center"/>
        <w:rPr>
          <w:rFonts w:cs="Times New Roman"/>
          <w:szCs w:val="24"/>
        </w:rPr>
      </w:pPr>
      <w:r>
        <w:rPr>
          <w:noProof/>
          <w:lang w:eastAsia="en-GB"/>
        </w:rPr>
        <w:drawing>
          <wp:inline distT="0" distB="0" distL="0" distR="0" wp14:anchorId="1691337B" wp14:editId="24ECA7CC">
            <wp:extent cx="3199765" cy="4526733"/>
            <wp:effectExtent l="0" t="0" r="635" b="762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6293" cy="4535968"/>
                    </a:xfrm>
                    <a:prstGeom prst="rect">
                      <a:avLst/>
                    </a:prstGeom>
                  </pic:spPr>
                </pic:pic>
              </a:graphicData>
            </a:graphic>
          </wp:inline>
        </w:drawing>
      </w:r>
    </w:p>
    <w:p w14:paraId="23D4248D" w14:textId="645B681C" w:rsidR="00E5002F" w:rsidRDefault="00E5002F" w:rsidP="005F097F">
      <w:pPr>
        <w:spacing w:line="480" w:lineRule="auto"/>
        <w:rPr>
          <w:rFonts w:ascii="Times New Roman" w:hAnsi="Times New Roman" w:cs="Times New Roman"/>
          <w:sz w:val="24"/>
          <w:szCs w:val="24"/>
        </w:rPr>
      </w:pPr>
      <w:bookmarkStart w:id="1" w:name="_Ref85643520"/>
      <w:bookmarkStart w:id="2" w:name="_Toc86681038"/>
      <w:bookmarkStart w:id="3" w:name="_Toc88687922"/>
      <w:r w:rsidRPr="000C7A0A">
        <w:rPr>
          <w:rFonts w:ascii="Times New Roman" w:hAnsi="Times New Roman" w:cs="Times New Roman"/>
          <w:b/>
          <w:sz w:val="24"/>
          <w:szCs w:val="24"/>
        </w:rPr>
        <w:t xml:space="preserve">Figure </w:t>
      </w:r>
      <w:r w:rsidR="00D77802">
        <w:rPr>
          <w:rFonts w:ascii="Times New Roman" w:hAnsi="Times New Roman" w:cs="Times New Roman"/>
          <w:b/>
          <w:sz w:val="24"/>
          <w:szCs w:val="24"/>
        </w:rPr>
        <w:t>S</w:t>
      </w:r>
      <w:r w:rsidRPr="000C7A0A">
        <w:rPr>
          <w:rFonts w:ascii="Times New Roman" w:hAnsi="Times New Roman" w:cs="Times New Roman"/>
          <w:b/>
          <w:sz w:val="24"/>
          <w:szCs w:val="24"/>
        </w:rPr>
        <w:fldChar w:fldCharType="begin"/>
      </w:r>
      <w:r w:rsidRPr="000C7A0A">
        <w:rPr>
          <w:rFonts w:ascii="Times New Roman" w:hAnsi="Times New Roman" w:cs="Times New Roman"/>
          <w:b/>
          <w:sz w:val="24"/>
          <w:szCs w:val="24"/>
        </w:rPr>
        <w:instrText xml:space="preserve"> SEQ Figure \* ARABIC </w:instrText>
      </w:r>
      <w:r w:rsidRPr="000C7A0A">
        <w:rPr>
          <w:rFonts w:ascii="Times New Roman" w:hAnsi="Times New Roman" w:cs="Times New Roman"/>
          <w:b/>
          <w:sz w:val="24"/>
          <w:szCs w:val="24"/>
        </w:rPr>
        <w:fldChar w:fldCharType="separate"/>
      </w:r>
      <w:r w:rsidRPr="000C7A0A">
        <w:rPr>
          <w:rFonts w:ascii="Times New Roman" w:hAnsi="Times New Roman" w:cs="Times New Roman"/>
          <w:b/>
          <w:noProof/>
          <w:sz w:val="24"/>
          <w:szCs w:val="24"/>
        </w:rPr>
        <w:t>1</w:t>
      </w:r>
      <w:r w:rsidRPr="000C7A0A">
        <w:rPr>
          <w:rFonts w:ascii="Times New Roman" w:hAnsi="Times New Roman" w:cs="Times New Roman"/>
          <w:b/>
          <w:sz w:val="24"/>
          <w:szCs w:val="24"/>
        </w:rPr>
        <w:fldChar w:fldCharType="end"/>
      </w:r>
      <w:bookmarkEnd w:id="1"/>
      <w:r w:rsidRPr="000C7A0A">
        <w:rPr>
          <w:rFonts w:ascii="Times New Roman" w:hAnsi="Times New Roman" w:cs="Times New Roman"/>
          <w:b/>
          <w:sz w:val="24"/>
          <w:szCs w:val="24"/>
        </w:rPr>
        <w:t>:</w:t>
      </w:r>
      <w:r w:rsidRPr="00E5002F">
        <w:rPr>
          <w:rFonts w:ascii="Times New Roman" w:hAnsi="Times New Roman" w:cs="Times New Roman"/>
          <w:sz w:val="24"/>
          <w:szCs w:val="24"/>
        </w:rPr>
        <w:t xml:space="preserve"> Absolute abundances of the top 10 most abundant classes across all treatment and control samples in in A) bacterial community and the top 5 most abundant classes in B) archaeal community. The horizontal axis includes the time points where samples were taken </w:t>
      </w:r>
      <w:r w:rsidRPr="00E5002F">
        <w:rPr>
          <w:rFonts w:ascii="Times New Roman" w:hAnsi="Times New Roman" w:cs="Times New Roman"/>
          <w:sz w:val="24"/>
          <w:szCs w:val="24"/>
        </w:rPr>
        <w:lastRenderedPageBreak/>
        <w:t>and correspond to the start of experiment II and the end of phase II-A (209 hours), II-B (376 hours) and II-C (596 hours).</w:t>
      </w:r>
      <w:bookmarkEnd w:id="2"/>
      <w:bookmarkEnd w:id="3"/>
    </w:p>
    <w:p w14:paraId="21B5F1AF" w14:textId="77777777" w:rsidR="00B0735A" w:rsidRDefault="00B0735A" w:rsidP="005F097F">
      <w:pPr>
        <w:spacing w:line="480" w:lineRule="auto"/>
        <w:rPr>
          <w:rFonts w:ascii="Times New Roman" w:hAnsi="Times New Roman" w:cs="Times New Roman"/>
          <w:sz w:val="24"/>
          <w:szCs w:val="24"/>
        </w:rPr>
      </w:pPr>
    </w:p>
    <w:p w14:paraId="1C8B0613" w14:textId="77777777" w:rsidR="008432CE" w:rsidRPr="00F3096C" w:rsidRDefault="008432CE" w:rsidP="005F097F">
      <w:pPr>
        <w:spacing w:after="200" w:line="480" w:lineRule="auto"/>
        <w:ind w:firstLineChars="180" w:firstLine="396"/>
        <w:rPr>
          <w:rFonts w:eastAsia="PMingLiU" w:cs="Times New Roman"/>
          <w:szCs w:val="24"/>
          <w:lang w:val="en-US"/>
        </w:rPr>
      </w:pPr>
      <w:r w:rsidRPr="00F3096C">
        <w:rPr>
          <w:rFonts w:eastAsia="PMingLiU" w:cs="Times New Roman"/>
          <w:noProof/>
          <w:szCs w:val="24"/>
          <w:lang w:eastAsia="en-GB"/>
        </w:rPr>
        <w:drawing>
          <wp:inline distT="0" distB="0" distL="0" distR="0" wp14:anchorId="0C445980" wp14:editId="352A4151">
            <wp:extent cx="5507355" cy="179690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rrelations.tiff"/>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14986" cy="1799392"/>
                    </a:xfrm>
                    <a:prstGeom prst="rect">
                      <a:avLst/>
                    </a:prstGeom>
                  </pic:spPr>
                </pic:pic>
              </a:graphicData>
            </a:graphic>
          </wp:inline>
        </w:drawing>
      </w:r>
    </w:p>
    <w:p w14:paraId="1C74BA02" w14:textId="464C05B6" w:rsidR="00EA3186" w:rsidRDefault="008432CE" w:rsidP="00DA6DE4">
      <w:pPr>
        <w:pStyle w:val="FigureTitle"/>
      </w:pPr>
      <w:bookmarkStart w:id="4" w:name="_Ref72768752"/>
      <w:bookmarkStart w:id="5" w:name="_Toc86681041"/>
      <w:bookmarkStart w:id="6" w:name="_Toc88687925"/>
      <w:r w:rsidRPr="000C7A0A">
        <w:rPr>
          <w:b/>
        </w:rPr>
        <w:t xml:space="preserve">Figure </w:t>
      </w:r>
      <w:r w:rsidR="00D77802">
        <w:rPr>
          <w:b/>
        </w:rPr>
        <w:t>S</w:t>
      </w:r>
      <w:r w:rsidR="00545C8C" w:rsidRPr="000C7A0A">
        <w:rPr>
          <w:b/>
        </w:rPr>
        <w:fldChar w:fldCharType="begin"/>
      </w:r>
      <w:r w:rsidR="00545C8C" w:rsidRPr="000C7A0A">
        <w:rPr>
          <w:b/>
        </w:rPr>
        <w:instrText xml:space="preserve"> SEQ Figure \* ARABIC </w:instrText>
      </w:r>
      <w:r w:rsidR="00545C8C" w:rsidRPr="000C7A0A">
        <w:rPr>
          <w:b/>
        </w:rPr>
        <w:fldChar w:fldCharType="separate"/>
      </w:r>
      <w:r w:rsidRPr="000C7A0A">
        <w:rPr>
          <w:b/>
          <w:noProof/>
        </w:rPr>
        <w:t>2</w:t>
      </w:r>
      <w:r w:rsidR="00545C8C" w:rsidRPr="000C7A0A">
        <w:rPr>
          <w:b/>
          <w:noProof/>
        </w:rPr>
        <w:fldChar w:fldCharType="end"/>
      </w:r>
      <w:bookmarkEnd w:id="4"/>
      <w:r w:rsidRPr="000C7A0A">
        <w:rPr>
          <w:b/>
        </w:rPr>
        <w:t>:</w:t>
      </w:r>
      <w:r w:rsidRPr="00F3096C">
        <w:t xml:space="preserve"> Spearman correlation between calculated </w:t>
      </w:r>
      <w:proofErr w:type="spellStart"/>
      <w:r w:rsidRPr="00F3096C">
        <w:t>undissociated</w:t>
      </w:r>
      <w:proofErr w:type="spellEnd"/>
      <w:r w:rsidRPr="00F3096C">
        <w:t xml:space="preserve"> carboxylic acids, expressed as mg acetic acid (</w:t>
      </w:r>
      <w:proofErr w:type="spellStart"/>
      <w:r w:rsidRPr="00F3096C">
        <w:t>HAc</w:t>
      </w:r>
      <w:proofErr w:type="spellEnd"/>
      <w:r w:rsidRPr="00F3096C">
        <w:t>) equivalents L</w:t>
      </w:r>
      <w:r w:rsidRPr="00F3096C">
        <w:rPr>
          <w:vertAlign w:val="superscript"/>
        </w:rPr>
        <w:t>-1</w:t>
      </w:r>
      <w:r w:rsidRPr="00F3096C">
        <w:t xml:space="preserve">, in Experiment II and log-absolute abundances of A) Total Archaea, B) Class </w:t>
      </w:r>
      <w:proofErr w:type="spellStart"/>
      <w:r w:rsidRPr="00F3096C">
        <w:t>Methanomicrobia</w:t>
      </w:r>
      <w:proofErr w:type="spellEnd"/>
      <w:r w:rsidRPr="00F3096C">
        <w:t xml:space="preserve"> and C) Class </w:t>
      </w:r>
      <w:proofErr w:type="spellStart"/>
      <w:r w:rsidRPr="00F3096C">
        <w:t>Methanobacteria</w:t>
      </w:r>
      <w:bookmarkEnd w:id="5"/>
      <w:bookmarkEnd w:id="6"/>
      <w:proofErr w:type="spellEnd"/>
      <w:r w:rsidRPr="00F3096C">
        <w:t xml:space="preserve"> </w:t>
      </w:r>
    </w:p>
    <w:p w14:paraId="45108D8F" w14:textId="77777777" w:rsidR="00DA6DE4" w:rsidRDefault="00DA6DE4" w:rsidP="00DA6DE4">
      <w:pPr>
        <w:pStyle w:val="FigureTitle"/>
      </w:pPr>
    </w:p>
    <w:p w14:paraId="27136E95" w14:textId="751FD4A1" w:rsidR="00DA6DE4" w:rsidRPr="00DA6DE4" w:rsidRDefault="00D77802" w:rsidP="00DA6DE4">
      <w:pPr>
        <w:pStyle w:val="FigureTitle"/>
      </w:pPr>
      <w:bookmarkStart w:id="7" w:name="_Ref72311328"/>
      <w:bookmarkStart w:id="8" w:name="_Ref89346914"/>
      <w:bookmarkStart w:id="9" w:name="_Toc86681112"/>
      <w:bookmarkStart w:id="10" w:name="_Toc86681163"/>
      <w:bookmarkStart w:id="11" w:name="_Toc88687956"/>
      <w:r>
        <w:rPr>
          <w:b/>
        </w:rPr>
        <w:t>Table S</w:t>
      </w:r>
      <w:r w:rsidR="00DA6DE4" w:rsidRPr="00DA6DE4">
        <w:rPr>
          <w:b/>
        </w:rPr>
        <w:fldChar w:fldCharType="begin"/>
      </w:r>
      <w:r w:rsidR="00DA6DE4" w:rsidRPr="00DA6DE4">
        <w:rPr>
          <w:b/>
        </w:rPr>
        <w:instrText xml:space="preserve"> SEQ Table \* ARABIC </w:instrText>
      </w:r>
      <w:r w:rsidR="00DA6DE4" w:rsidRPr="00DA6DE4">
        <w:rPr>
          <w:b/>
        </w:rPr>
        <w:fldChar w:fldCharType="separate"/>
      </w:r>
      <w:r w:rsidR="00DA6DE4">
        <w:rPr>
          <w:b/>
          <w:noProof/>
        </w:rPr>
        <w:t>2</w:t>
      </w:r>
      <w:r w:rsidR="00DA6DE4" w:rsidRPr="00DA6DE4">
        <w:fldChar w:fldCharType="end"/>
      </w:r>
      <w:bookmarkEnd w:id="7"/>
      <w:bookmarkEnd w:id="8"/>
      <w:r w:rsidR="00DA6DE4" w:rsidRPr="00DA6DE4">
        <w:t xml:space="preserve">: Biochemical reactions possibly involved in glucose and glycerol anaerobic conversion experiment at product and reactant concentrations of 1 </w:t>
      </w:r>
      <w:proofErr w:type="spellStart"/>
      <w:r w:rsidR="00DA6DE4" w:rsidRPr="00DA6DE4">
        <w:t>mM</w:t>
      </w:r>
      <w:proofErr w:type="spellEnd"/>
      <w:r w:rsidR="00DA6DE4" w:rsidRPr="00DA6DE4">
        <w:t>, initial pH= 7.5 and T=35°C. The Gibbs free energy change (ΔG</w:t>
      </w:r>
      <w:r w:rsidR="00DA6DE4" w:rsidRPr="00DA6DE4">
        <w:rPr>
          <w:vertAlign w:val="subscript"/>
        </w:rPr>
        <w:t>cat</w:t>
      </w:r>
      <w:r w:rsidR="00DA6DE4" w:rsidRPr="00DA6DE4">
        <w:rPr>
          <w:vertAlign w:val="superscript"/>
        </w:rPr>
        <w:t>1</w:t>
      </w:r>
      <w:r w:rsidR="00DA6DE4" w:rsidRPr="00DA6DE4">
        <w:t xml:space="preserve">) was corrected for pH and calculated according to </w:t>
      </w:r>
      <w:r w:rsidR="00DA6DE4" w:rsidRPr="00DA6DE4">
        <w:fldChar w:fldCharType="begin" w:fldLock="1"/>
      </w:r>
      <w:r w:rsidR="0058195D">
        <w:instrText>ADDIN CSL_CITATION {"citationItems":[{"id":"ITEM-1","itemData":{"ISBN":"978-0-471-79930-6 978-0-470-05458-1","author":[{"dropping-particle":"","family":"Heijnen","given":"Joseph J.","non-dropping-particle":"","parse-names":false,"suffix":""},{"dropping-particle":"","family":"Kleerebezem","given":"Robbert Robert","non-dropping-particle":"","parse-names":false,"suffix":""}],"container-title":"Encyclopedia of Industrial Biotechnology","id":"ITEM-1","issued":{"date-parts":[["2010","10","28"]]},"language":"en","page":"1-66","publisher":"John Wiley &amp; Sons, Inc.","publisher-place":"Hoboken, NJ, USA","title":"Bioenergetics of Microbial Growth","type":"chapter"},"uris":["http://www.mendeley.com/documents/?uuid=92af44db-ca51-49d1-80af-fe0578e08085"]}],"mendeley":{"formattedCitation":"[9]","plainTextFormattedCitation":"[9]","previouslyFormattedCitation":"[9]"},"properties":{"noteIndex":0},"schema":"https://github.com/citation-style-language/schema/raw/master/csl-citation.json"}</w:instrText>
      </w:r>
      <w:r w:rsidR="00DA6DE4" w:rsidRPr="00DA6DE4">
        <w:fldChar w:fldCharType="separate"/>
      </w:r>
      <w:r w:rsidR="001D7B0F" w:rsidRPr="001D7B0F">
        <w:rPr>
          <w:noProof/>
        </w:rPr>
        <w:t>[9]</w:t>
      </w:r>
      <w:r w:rsidR="00DA6DE4" w:rsidRPr="00DA6DE4">
        <w:fldChar w:fldCharType="end"/>
      </w:r>
      <w:r w:rsidR="00DA6DE4" w:rsidRPr="00DA6DE4">
        <w:t xml:space="preserve">. </w:t>
      </w:r>
      <w:proofErr w:type="spellStart"/>
      <w:r w:rsidR="00DA6DE4" w:rsidRPr="00DA6DE4">
        <w:t>Stoichiometries</w:t>
      </w:r>
      <w:proofErr w:type="spellEnd"/>
      <w:r w:rsidR="00DA6DE4" w:rsidRPr="00DA6DE4">
        <w:t xml:space="preserve"> are adapted from </w:t>
      </w:r>
      <w:r w:rsidR="00DA6DE4" w:rsidRPr="00DA6DE4">
        <w:fldChar w:fldCharType="begin" w:fldLock="1"/>
      </w:r>
      <w:r w:rsidR="0058195D">
        <w:instrText>ADDIN CSL_CITATION {"citationItems":[{"id":"ITEM-1","itemData":{"DOI":"10.1016/j.coche.2012.07.005","ISSN":"22113398","author":[{"dropping-particle":"","family":"Fast","given":"Alan G","non-dropping-particle":"","parse-names":false,"suffix":""},{"dropping-particle":"","family":"Papoutsakis","given":"Eleftherios T","non-dropping-particle":"","parse-names":false,"suffix":""}],"container-title":"Current Opinion in Chemical Engineering","id":"ITEM-1","issue":"4","issued":{"date-parts":[["2012","11","11"]]},"language":"en","page":"380-395","title":"Stoichiometric and energetic analyses of non-photosynthetic CO2-fixation pathways to support synthetic biology strategies for production of fuels and chemicals","type":"article-journal","volume":"1"},"uris":["http://www.mendeley.com/documents/?uuid=597e26f9-a9cc-4988-aea5-951cad6cf73d"]}],"mendeley":{"formattedCitation":"[10]","plainTextFormattedCitation":"[10]","previouslyFormattedCitation":"[10]"},"properties":{"noteIndex":0},"schema":"https://github.com/citation-style-language/schema/raw/master/csl-citation.json"}</w:instrText>
      </w:r>
      <w:r w:rsidR="00DA6DE4" w:rsidRPr="00DA6DE4">
        <w:fldChar w:fldCharType="separate"/>
      </w:r>
      <w:r w:rsidR="001D7B0F" w:rsidRPr="001D7B0F">
        <w:rPr>
          <w:noProof/>
        </w:rPr>
        <w:t>[10]</w:t>
      </w:r>
      <w:r w:rsidR="00DA6DE4" w:rsidRPr="00DA6DE4">
        <w:fldChar w:fldCharType="end"/>
      </w:r>
      <w:r w:rsidR="00DA6DE4" w:rsidRPr="00DA6DE4">
        <w:t xml:space="preserve">, </w:t>
      </w:r>
      <w:r w:rsidR="00DA6DE4" w:rsidRPr="00DA6DE4">
        <w:fldChar w:fldCharType="begin" w:fldLock="1"/>
      </w:r>
      <w:r w:rsidR="0058195D">
        <w:instrText xml:space="preserve">ADDIN CSL_CITATION {"citationItems":[{"id":"ITEM-1","itemData":{"DOI":"10.1002/bit.22107","ISSN":"00063592","PMID":"18828179","abstract":"We first constructed full stoichiometry, including cell synthesis, for glucose mixed-acid fermentation at different initial substrate concentrations (0.8-6 g-glucose/L) and pH conditions (final pH 4.0-8.6), based on experimentally determined electron-equivalent balances. The fermentative bioH 2 reactions had good electron closure (-9.8 to +12.7% for variations in glucose concentration and -3to +2% for variations in pH), and C, H, and O errors were below 1%. From the stoichiometry, we computed the ATP yield based on known fermentation pathways. Glucose-variation tests (final pH 4.2-5.1) gave a consistent fermentation pattern of acetate + butyrate + large H 2, while pH significantly shifted the catabolic pattern: acetate + butyrate + large H 2 at final pH 4.0, acetate + ethanol + modest H 2 at final pH 6.8, and acetate + lactate + trivial H 2 at final pH 8.6. When lactate or propionate was a dominant soluble end product, the H 2 yield was very low, which is in agreement with the theory that reduced ferredoxin (Fd red) formation is required for proton reduction to H 2. Also consistent with this hypothesis is that high H 2 production correlated with a high ratio of butyrate to acetate. Biomass was not a dominant sink for electron equivalents in H 2 formation, but became significant (12%) for the lowest glucose concentration (i.e., the most oligotrophic condition). The fermenting bacteria conserved energy similarly at </w:instrText>
      </w:r>
      <w:r w:rsidR="0058195D">
        <w:rPr>
          <w:rFonts w:ascii="Cambria Math" w:hAnsi="Cambria Math" w:cs="Cambria Math"/>
        </w:rPr>
        <w:instrText>∼</w:instrText>
      </w:r>
      <w:r w:rsidR="0058195D">
        <w:instrText xml:space="preserve">3 mol ATP/mol glucose (except 0.8 g-glucose/L, which had </w:instrText>
      </w:r>
      <w:r w:rsidR="0058195D">
        <w:rPr>
          <w:rFonts w:ascii="Cambria Math" w:hAnsi="Cambria Math" w:cs="Cambria Math"/>
        </w:rPr>
        <w:instrText>∼</w:instrText>
      </w:r>
      <w:r w:rsidR="0058195D">
        <w:instrText>3.5 mol ATP/mol glucose) over a wide range of H 2 production. The observed biomass yield did not correlate with ATP conservation; low observed biomass yields probably were caused by accelerated rates of decay or production of soluble microbial products. © 2008 Wiley Periodicals, Inc.","author":[{"dropping-particle":"","family":"Lee","given":"Hyung Sool","non-dropping-particle":"","parse-names":false,"suffix":""},{"dropping-particle":"","family":"Rittmann","given":"Bruce E.","non-dropping-particle":"","parse-names":false,"suffix":""}],"container-title":"Biotechnology and Bioengineering","id":"ITEM-1","issue":"3","issued":{"date-parts":[["2009","2","15"]]},"page":"749-758","title":"Evaluation of metabolism using stoichiometry in fermentative biohydrogen","type":"article-journal","volume":"102"},"uris":["http://www.mendeley.com/documents/?uuid=07685711-7060-3dd7-abc2-e0cbfd57440e"]}],"mendeley":{"formattedCitation":"[11]","plainTextFormattedCitation":"[11]","previouslyFormattedCitation":"[11]"},"properties":{"noteIndex":0},"schema":"https://github.com/citation-style-language/schema/raw/master/csl-citation.json"}</w:instrText>
      </w:r>
      <w:r w:rsidR="00DA6DE4" w:rsidRPr="00DA6DE4">
        <w:fldChar w:fldCharType="separate"/>
      </w:r>
      <w:r w:rsidR="001D7B0F" w:rsidRPr="001D7B0F">
        <w:rPr>
          <w:noProof/>
        </w:rPr>
        <w:t>[11]</w:t>
      </w:r>
      <w:r w:rsidR="00DA6DE4" w:rsidRPr="00DA6DE4">
        <w:fldChar w:fldCharType="end"/>
      </w:r>
      <w:r w:rsidR="00DA6DE4" w:rsidRPr="00DA6DE4">
        <w:t xml:space="preserve">, </w:t>
      </w:r>
      <w:r w:rsidR="00DA6DE4" w:rsidRPr="00DA6DE4">
        <w:fldChar w:fldCharType="begin" w:fldLock="1"/>
      </w:r>
      <w:r w:rsidR="0058195D">
        <w:instrText>ADDIN CSL_CITATION {"citationItems":[{"id":"ITEM-1","itemData":{"DOI":"10.1016/0141-0229(93)90008-P","ISSN":"01410229","abstract":"The method of metabolic pathway stoichiometry was used to analyze the fermentation of glycerol to 1,3-propanediol by Klebsiella pneumoniae DSM 2026, with particular emphasis on the regulation of hydrogen formation and balance of reducing equivalents (NADH2). Under conditions of glycerol limitation, H2 formation was found to be higher than the maximum amount that could be generated from the splitting of pyruvate to acetyl-CoA. Simultaneously, a lower recovery of reducing equivalents was found in the reduced product 1,3-propanediol. Under conditions of glycerol excess, formation of H2 was drastically reduced and a surplus of NADH2 was generated for the formation of 1,3-propanediol. These findings indicate the existence of enzymes in K. pneumoniae that transfer reducing equivalents from NADH2 to H2 and 1,3-propanediol flexibility. The physiological flexibly. The physiological meanings of these regulatory mechanisms are discussed from the viewpoint of bioenergetics and product inhibition. Taking these regulation mechanisms into account, the maximum energy and product yields of this fermentation were calculated, which agreed well with experimental results. A corrected NADH2 balance equation was derived which can be used to calculate the formation of hydrogen under different conditions. © 1993.","author":[{"dropping-particle":"","family":"Zeng","given":"A. P.","non-dropping-particle":"","parse-names":false,"suffix":""},{"dropping-particle":"","family":"Biebl","given":"H.","non-dropping-particle":"","parse-names":false,"suffix":""},{"dropping-particle":"","family":"Schlieker","given":"H.","non-dropping-particle":"","parse-names":false,"suffix":""},{"dropping-particle":"","family":"Deckwer","given":"W. D.","non-dropping-particle":"","parse-names":false,"suffix":""}],"container-title":"Enzyme and Microbial Technology","id":"ITEM-1","issue":"9","issued":{"date-parts":[["1993"]]},"page":"770-779","title":"Pathway analysis of glycerol fermentation by Klebsiella pneumoniae: Regulation of reducing equivalent balance and product formation","type":"article-journal","volume":"15"},"uris":["http://www.mendeley.com/documents/?uuid=4239838c-2b61-490c-8ede-b24c4eb6c380"]}],"mendeley":{"formattedCitation":"[12]","plainTextFormattedCitation":"[12]","previouslyFormattedCitation":"[12]"},"properties":{"noteIndex":0},"schema":"https://github.com/citation-style-language/schema/raw/master/csl-citation.json"}</w:instrText>
      </w:r>
      <w:r w:rsidR="00DA6DE4" w:rsidRPr="00DA6DE4">
        <w:fldChar w:fldCharType="separate"/>
      </w:r>
      <w:r w:rsidR="001D7B0F" w:rsidRPr="001D7B0F">
        <w:rPr>
          <w:noProof/>
        </w:rPr>
        <w:t>[12]</w:t>
      </w:r>
      <w:r w:rsidR="00DA6DE4" w:rsidRPr="00DA6DE4">
        <w:fldChar w:fldCharType="end"/>
      </w:r>
      <w:r w:rsidR="00DA6DE4" w:rsidRPr="00DA6DE4">
        <w:t xml:space="preserve">, </w:t>
      </w:r>
      <w:r w:rsidR="00DA6DE4" w:rsidRPr="00DA6DE4">
        <w:fldChar w:fldCharType="begin" w:fldLock="1"/>
      </w:r>
      <w:r w:rsidR="0058195D">
        <w:instrText>ADDIN CSL_CITATION {"citationItems":[{"id":"ITEM-1","itemData":{"DOI":"10.1038/ismej.2015.69","abstract":"The fundamental trade-off between yield and rate of energy harvest per unit of substrate has been largely discussed as a main characteristic for microbial established cooperation or competition. In this study, this point is addressed by developing a generalized model that simulates competition between existing and not experimentally reported microbial catabolic activities defined only based on well-known biochemical pathways. No specific microbial physiological adaptations are considered, growth yield is calculated coupled to catabolism energetics and a common maximum biomass-specific catabolism rate (expressed as electron transfer rate) is assumed for all microbial groups. Under this approach, successful microbial metabolisms are predicted in line with experimental observations under the hypothesis of maximum energy harvest rate. Two microbial ecosystems, typically found in wastewater treatment plants, are simulated, namely: (i) the anaerobic fermentation of glucose and (ii) the oxidation and reduction of nitrogen under aerobic autotrophic (nitrification) and anoxic heterotrophic and autotrophic (denitrification) conditions. The experimentally observed cross feeding in glucose fermentation, through multiple intermediate fermentation pathways, towards ultimately methane and carbon dioxide is predicted. Analogously, two-stage nitrification (by ammonium and nitrite oxidizers) is predicted as prevailing over nitrification in one stage. Conversely, denitrification is predicted in one stage (by denitrifiers) as well as anammox (anaerobic ammonium oxidation). The model results suggest that these observations are a direct consequence of the different energy yields per electron transferred at the different steps of the pathways. Overall, our results theoretically support the hypothesis that successful microbial catabolic activities are selected by an overall maximum energy harvest rate.","author":[{"dropping-particle":"","family":"González-Cabaleiro","given":"Rebeca","non-dropping-particle":"","parse-names":false,"suffix":""},{"dropping-particle":"","family":"Ofit¸eru","given":"Irina D","non-dropping-particle":"","parse-names":false,"suffix":""},{"dropping-particle":"","family":"Lema","given":"Juan M","non-dropping-particle":"","parse-names":false,"suffix":""},{"dropping-particle":"","family":"Rodríguez","given":"Jorge","non-dropping-particle":"","parse-names":false,"suffix":""}],"container-title":"The ISME Journal","id":"ITEM-1","issued":{"date-parts":[["2016"]]},"page":"2630-2641","title":"Microbial catabolic activities are naturally selected by metabolic energy harvest rate","type":"article-journal","volume":"9"},"uris":["http://www.mendeley.com/documents/?uuid=978bf378-faa3-397a-9b94-79cd130a863f"]}],"mendeley":{"formattedCitation":"[13]","plainTextFormattedCitation":"[13]","previouslyFormattedCitation":"[13]"},"properties":{"noteIndex":0},"schema":"https://github.com/citation-style-language/schema/raw/master/csl-citation.json"}</w:instrText>
      </w:r>
      <w:r w:rsidR="00DA6DE4" w:rsidRPr="00DA6DE4">
        <w:fldChar w:fldCharType="separate"/>
      </w:r>
      <w:bookmarkEnd w:id="9"/>
      <w:bookmarkEnd w:id="10"/>
      <w:bookmarkEnd w:id="11"/>
      <w:r w:rsidR="001D7B0F" w:rsidRPr="000C7A0A">
        <w:rPr>
          <w:noProof/>
        </w:rPr>
        <w:t>[13]</w:t>
      </w:r>
      <w:r w:rsidR="00DA6DE4" w:rsidRPr="00DA6DE4">
        <w:fldChar w:fldCharType="end"/>
      </w:r>
    </w:p>
    <w:tbl>
      <w:tblPr>
        <w:tblStyle w:val="ListTable3"/>
        <w:tblW w:w="9209" w:type="dxa"/>
        <w:tblLook w:val="04A0" w:firstRow="1" w:lastRow="0" w:firstColumn="1" w:lastColumn="0" w:noHBand="0" w:noVBand="1"/>
      </w:tblPr>
      <w:tblGrid>
        <w:gridCol w:w="570"/>
        <w:gridCol w:w="7384"/>
        <w:gridCol w:w="1255"/>
      </w:tblGrid>
      <w:tr w:rsidR="00DA6DE4" w:rsidRPr="00DA6DE4" w14:paraId="773905BF" w14:textId="77777777" w:rsidTr="000C7A0A">
        <w:trPr>
          <w:cnfStyle w:val="100000000000" w:firstRow="1" w:lastRow="0" w:firstColumn="0" w:lastColumn="0" w:oddVBand="0" w:evenVBand="0" w:oddHBand="0" w:evenHBand="0" w:firstRowFirstColumn="0" w:firstRowLastColumn="0" w:lastRowFirstColumn="0" w:lastRowLastColumn="0"/>
          <w:trHeight w:val="802"/>
        </w:trPr>
        <w:tc>
          <w:tcPr>
            <w:cnfStyle w:val="001000000100" w:firstRow="0" w:lastRow="0" w:firstColumn="1" w:lastColumn="0" w:oddVBand="0" w:evenVBand="0" w:oddHBand="0" w:evenHBand="0" w:firstRowFirstColumn="1" w:firstRowLastColumn="0" w:lastRowFirstColumn="0" w:lastRowLastColumn="0"/>
            <w:tcW w:w="570" w:type="dxa"/>
          </w:tcPr>
          <w:p w14:paraId="2F86167B" w14:textId="77777777" w:rsidR="00DA6DE4" w:rsidRPr="000C7A0A" w:rsidRDefault="00DA6DE4" w:rsidP="00DA6DE4">
            <w:pPr>
              <w:pStyle w:val="FigureTitle"/>
              <w:spacing w:before="0" w:after="0" w:line="240" w:lineRule="auto"/>
            </w:pPr>
            <w:r w:rsidRPr="000C7A0A">
              <w:t>No.</w:t>
            </w:r>
          </w:p>
        </w:tc>
        <w:tc>
          <w:tcPr>
            <w:tcW w:w="7384" w:type="dxa"/>
          </w:tcPr>
          <w:p w14:paraId="46194A0B" w14:textId="77777777" w:rsidR="00DA6DE4" w:rsidRPr="000C7A0A" w:rsidRDefault="00DA6DE4" w:rsidP="00DA6DE4">
            <w:pPr>
              <w:pStyle w:val="FigureTitle"/>
              <w:spacing w:before="0" w:after="0" w:line="240" w:lineRule="auto"/>
              <w:cnfStyle w:val="100000000000" w:firstRow="1" w:lastRow="0" w:firstColumn="0" w:lastColumn="0" w:oddVBand="0" w:evenVBand="0" w:oddHBand="0" w:evenHBand="0" w:firstRowFirstColumn="0" w:firstRowLastColumn="0" w:lastRowFirstColumn="0" w:lastRowLastColumn="0"/>
            </w:pPr>
            <w:r w:rsidRPr="000C7A0A">
              <w:t>Catabolic reactions</w:t>
            </w:r>
          </w:p>
        </w:tc>
        <w:tc>
          <w:tcPr>
            <w:tcW w:w="1255" w:type="dxa"/>
          </w:tcPr>
          <w:p w14:paraId="533A6E46" w14:textId="77777777" w:rsidR="00DA6DE4" w:rsidRPr="000C7A0A" w:rsidRDefault="00DA6DE4" w:rsidP="00DA6DE4">
            <w:pPr>
              <w:pStyle w:val="FigureTitle"/>
              <w:spacing w:before="0" w:after="0" w:line="240" w:lineRule="auto"/>
              <w:cnfStyle w:val="100000000000" w:firstRow="1" w:lastRow="0" w:firstColumn="0" w:lastColumn="0" w:oddVBand="0" w:evenVBand="0" w:oddHBand="0" w:evenHBand="0" w:firstRowFirstColumn="0" w:firstRowLastColumn="0" w:lastRowFirstColumn="0" w:lastRowLastColumn="0"/>
              <w:rPr>
                <w:vertAlign w:val="superscript"/>
              </w:rPr>
            </w:pPr>
            <w:r w:rsidRPr="00DA6DE4">
              <w:rPr>
                <w:lang w:val="en-US"/>
              </w:rPr>
              <w:t>Δ</w:t>
            </w:r>
            <w:r w:rsidRPr="000C7A0A">
              <w:t>G</w:t>
            </w:r>
            <w:r w:rsidRPr="000C7A0A">
              <w:rPr>
                <w:vertAlign w:val="subscript"/>
              </w:rPr>
              <w:t>cat</w:t>
            </w:r>
            <w:r w:rsidRPr="000C7A0A">
              <w:rPr>
                <w:vertAlign w:val="superscript"/>
              </w:rPr>
              <w:t>1</w:t>
            </w:r>
          </w:p>
          <w:p w14:paraId="03A54AF3" w14:textId="77777777" w:rsidR="00DA6DE4" w:rsidRPr="000C7A0A" w:rsidRDefault="00DA6DE4" w:rsidP="00DA6DE4">
            <w:pPr>
              <w:pStyle w:val="FigureTitle"/>
              <w:spacing w:before="0" w:after="0" w:line="240" w:lineRule="auto"/>
              <w:cnfStyle w:val="100000000000" w:firstRow="1" w:lastRow="0" w:firstColumn="0" w:lastColumn="0" w:oddVBand="0" w:evenVBand="0" w:oddHBand="0" w:evenHBand="0" w:firstRowFirstColumn="0" w:firstRowLastColumn="0" w:lastRowFirstColumn="0" w:lastRowLastColumn="0"/>
            </w:pPr>
            <w:r w:rsidRPr="000C7A0A">
              <w:t xml:space="preserve">(kJ/ </w:t>
            </w:r>
            <w:proofErr w:type="spellStart"/>
            <w:r w:rsidRPr="000C7A0A">
              <w:t>Rxn</w:t>
            </w:r>
            <w:proofErr w:type="spellEnd"/>
            <w:r w:rsidRPr="000C7A0A">
              <w:t>)</w:t>
            </w:r>
          </w:p>
        </w:tc>
      </w:tr>
      <w:tr w:rsidR="00DA6DE4" w:rsidRPr="00DA6DE4" w14:paraId="4433E391" w14:textId="77777777" w:rsidTr="000C7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619E5670" w14:textId="77777777" w:rsidR="00DA6DE4" w:rsidRPr="000C7A0A" w:rsidRDefault="00DA6DE4" w:rsidP="00DA6DE4">
            <w:pPr>
              <w:pStyle w:val="FigureTitle"/>
              <w:spacing w:before="0" w:after="0" w:line="240" w:lineRule="auto"/>
            </w:pPr>
            <w:r w:rsidRPr="000C7A0A">
              <w:t>1</w:t>
            </w:r>
          </w:p>
        </w:tc>
        <w:tc>
          <w:tcPr>
            <w:tcW w:w="7384" w:type="dxa"/>
          </w:tcPr>
          <w:p w14:paraId="1266EFD1"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m:oMathPara>
              <m:oMathParaPr>
                <m:jc m:val="left"/>
              </m:oMathParaPr>
              <m:oMath>
                <m:r>
                  <w:rPr>
                    <w:rFonts w:ascii="Cambria Math" w:hAnsi="Cambria Math"/>
                    <w:lang w:val="en-US"/>
                  </w:rPr>
                  <m:t>Glucose</m:t>
                </m:r>
                <m:r>
                  <m:rPr>
                    <m:sty m:val="p"/>
                  </m:rPr>
                  <w:rPr>
                    <w:rFonts w:ascii="Cambria Math" w:hAnsi="Cambria Math"/>
                  </w:rPr>
                  <m:t xml:space="preserve"> →2 </m:t>
                </m:r>
                <m:r>
                  <w:rPr>
                    <w:rFonts w:ascii="Cambria Math" w:hAnsi="Cambria Math"/>
                    <w:lang w:val="en-US"/>
                  </w:rPr>
                  <m:t>Lactate</m:t>
                </m:r>
                <m:r>
                  <m:rPr>
                    <m:sty m:val="p"/>
                  </m:rPr>
                  <w:rPr>
                    <w:rFonts w:ascii="Cambria Math" w:hAnsi="Cambria Math"/>
                  </w:rPr>
                  <m:t xml:space="preserve">+2 </m:t>
                </m:r>
                <m:sSup>
                  <m:sSupPr>
                    <m:ctrlPr>
                      <w:rPr>
                        <w:rFonts w:ascii="Cambria Math" w:hAnsi="Cambria Math"/>
                        <w:lang w:val="en-US"/>
                      </w:rPr>
                    </m:ctrlPr>
                  </m:sSupPr>
                  <m:e>
                    <m:r>
                      <w:rPr>
                        <w:rFonts w:ascii="Cambria Math" w:hAnsi="Cambria Math"/>
                        <w:lang w:val="en-US"/>
                      </w:rPr>
                      <m:t>H</m:t>
                    </m:r>
                  </m:e>
                  <m:sup>
                    <m:r>
                      <m:rPr>
                        <m:sty m:val="p"/>
                      </m:rPr>
                      <w:rPr>
                        <w:rFonts w:ascii="Cambria Math" w:hAnsi="Cambria Math"/>
                      </w:rPr>
                      <m:t>+</m:t>
                    </m:r>
                  </m:sup>
                </m:sSup>
                <m:r>
                  <m:rPr>
                    <m:sty m:val="p"/>
                  </m:rPr>
                  <w:rPr>
                    <w:rFonts w:ascii="Cambria Math" w:hAnsi="Cambria Math"/>
                  </w:rPr>
                  <m:t xml:space="preserve">+2 </m:t>
                </m:r>
                <m:r>
                  <w:rPr>
                    <w:rFonts w:ascii="Cambria Math" w:hAnsi="Cambria Math"/>
                    <w:lang w:val="en-US"/>
                  </w:rPr>
                  <m:t>ATP</m:t>
                </m:r>
              </m:oMath>
            </m:oMathPara>
          </w:p>
        </w:tc>
        <w:tc>
          <w:tcPr>
            <w:tcW w:w="1255" w:type="dxa"/>
          </w:tcPr>
          <w:p w14:paraId="120AD256"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w:r w:rsidRPr="000C7A0A">
              <w:t>-202.8</w:t>
            </w:r>
          </w:p>
        </w:tc>
      </w:tr>
      <w:tr w:rsidR="00DA6DE4" w:rsidRPr="00DA6DE4" w14:paraId="5CF8C4F0" w14:textId="77777777" w:rsidTr="000C7A0A">
        <w:tc>
          <w:tcPr>
            <w:cnfStyle w:val="001000000000" w:firstRow="0" w:lastRow="0" w:firstColumn="1" w:lastColumn="0" w:oddVBand="0" w:evenVBand="0" w:oddHBand="0" w:evenHBand="0" w:firstRowFirstColumn="0" w:firstRowLastColumn="0" w:lastRowFirstColumn="0" w:lastRowLastColumn="0"/>
            <w:tcW w:w="570" w:type="dxa"/>
          </w:tcPr>
          <w:p w14:paraId="15ADFF9B" w14:textId="77777777" w:rsidR="00DA6DE4" w:rsidRPr="000C7A0A" w:rsidRDefault="00DA6DE4" w:rsidP="00DA6DE4">
            <w:pPr>
              <w:pStyle w:val="FigureTitle"/>
              <w:spacing w:before="0" w:after="0" w:line="240" w:lineRule="auto"/>
            </w:pPr>
            <w:r w:rsidRPr="000C7A0A">
              <w:t>2</w:t>
            </w:r>
          </w:p>
        </w:tc>
        <w:tc>
          <w:tcPr>
            <w:tcW w:w="7384" w:type="dxa"/>
          </w:tcPr>
          <w:p w14:paraId="4F338D30"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m:oMathPara>
              <m:oMathParaPr>
                <m:jc m:val="left"/>
              </m:oMathParaPr>
              <m:oMath>
                <m:r>
                  <w:rPr>
                    <w:rFonts w:ascii="Cambria Math" w:hAnsi="Cambria Math"/>
                    <w:lang w:val="en-US"/>
                  </w:rPr>
                  <m:t>Glucose</m:t>
                </m:r>
                <m:r>
                  <m:rPr>
                    <m:sty m:val="p"/>
                  </m:rPr>
                  <w:rPr>
                    <w:rFonts w:ascii="Cambria Math" w:hAnsi="Cambria Math"/>
                  </w:rPr>
                  <m:t xml:space="preserve"> →</m:t>
                </m:r>
                <m:r>
                  <w:rPr>
                    <w:rFonts w:ascii="Cambria Math" w:hAnsi="Cambria Math"/>
                    <w:lang w:val="en-US"/>
                  </w:rPr>
                  <m:t>Butyrate</m:t>
                </m:r>
                <m:r>
                  <m:rPr>
                    <m:sty m:val="p"/>
                  </m:rPr>
                  <w:rPr>
                    <w:rFonts w:ascii="Cambria Math" w:hAnsi="Cambria Math"/>
                  </w:rPr>
                  <m:t>+</m:t>
                </m:r>
                <m:sSup>
                  <m:sSupPr>
                    <m:ctrlPr>
                      <w:rPr>
                        <w:rFonts w:ascii="Cambria Math" w:hAnsi="Cambria Math"/>
                        <w:lang w:val="en-US"/>
                      </w:rPr>
                    </m:ctrlPr>
                  </m:sSupPr>
                  <m:e>
                    <m:r>
                      <w:rPr>
                        <w:rFonts w:ascii="Cambria Math" w:hAnsi="Cambria Math"/>
                        <w:lang w:val="en-US"/>
                      </w:rPr>
                      <m:t>H</m:t>
                    </m:r>
                  </m:e>
                  <m:sup>
                    <m:r>
                      <m:rPr>
                        <m:sty m:val="p"/>
                      </m:rPr>
                      <w:rPr>
                        <w:rFonts w:ascii="Cambria Math" w:hAnsi="Cambria Math"/>
                      </w:rPr>
                      <m:t>+</m:t>
                    </m:r>
                  </m:sup>
                </m:sSup>
                <m:r>
                  <m:rPr>
                    <m:sty m:val="p"/>
                  </m:rPr>
                  <w:rPr>
                    <w:rFonts w:ascii="Cambria Math" w:hAnsi="Cambria Math"/>
                  </w:rPr>
                  <m:t xml:space="preserve">+2 </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m:rPr>
                    <m:sty m:val="p"/>
                  </m:rPr>
                  <w:rPr>
                    <w:rFonts w:ascii="Cambria Math" w:hAnsi="Cambria Math"/>
                  </w:rPr>
                  <m:t xml:space="preserve">+2 </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 xml:space="preserve">+3 </m:t>
                </m:r>
                <m:r>
                  <w:rPr>
                    <w:rFonts w:ascii="Cambria Math" w:hAnsi="Cambria Math"/>
                    <w:lang w:val="en-US"/>
                  </w:rPr>
                  <m:t>ATP</m:t>
                </m:r>
              </m:oMath>
            </m:oMathPara>
          </w:p>
        </w:tc>
        <w:tc>
          <w:tcPr>
            <w:tcW w:w="1255" w:type="dxa"/>
          </w:tcPr>
          <w:p w14:paraId="07BC46E7"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w:r w:rsidRPr="000C7A0A">
              <w:t>-267.0</w:t>
            </w:r>
          </w:p>
        </w:tc>
      </w:tr>
      <w:tr w:rsidR="00DA6DE4" w:rsidRPr="00DA6DE4" w14:paraId="1E087477" w14:textId="77777777" w:rsidTr="000C7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4EA80DCB" w14:textId="77777777" w:rsidR="00DA6DE4" w:rsidRPr="000C7A0A" w:rsidRDefault="00DA6DE4" w:rsidP="00DA6DE4">
            <w:pPr>
              <w:pStyle w:val="FigureTitle"/>
              <w:spacing w:before="0" w:after="0" w:line="240" w:lineRule="auto"/>
            </w:pPr>
            <w:r w:rsidRPr="000C7A0A">
              <w:t>3</w:t>
            </w:r>
          </w:p>
        </w:tc>
        <w:tc>
          <w:tcPr>
            <w:tcW w:w="7384" w:type="dxa"/>
          </w:tcPr>
          <w:p w14:paraId="20260016"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m:oMathPara>
              <m:oMathParaPr>
                <m:jc m:val="left"/>
              </m:oMathParaPr>
              <m:oMath>
                <m:r>
                  <w:rPr>
                    <w:rFonts w:ascii="Cambria Math" w:hAnsi="Cambria Math"/>
                    <w:lang w:val="en-US"/>
                  </w:rPr>
                  <m:t>Glucose</m:t>
                </m:r>
                <m:r>
                  <m:rPr>
                    <m:sty m:val="p"/>
                  </m:rPr>
                  <w:rPr>
                    <w:rFonts w:ascii="Cambria Math" w:hAnsi="Cambria Math"/>
                  </w:rPr>
                  <m:t xml:space="preserve"> →0.67 </m:t>
                </m:r>
                <m:r>
                  <w:rPr>
                    <w:rFonts w:ascii="Cambria Math" w:hAnsi="Cambria Math"/>
                    <w:lang w:val="en-US"/>
                  </w:rPr>
                  <m:t>Acetate</m:t>
                </m:r>
                <m:r>
                  <m:rPr>
                    <m:sty m:val="p"/>
                  </m:rPr>
                  <w:rPr>
                    <w:rFonts w:ascii="Cambria Math" w:hAnsi="Cambria Math"/>
                  </w:rPr>
                  <m:t xml:space="preserve">+ 0.67 </m:t>
                </m:r>
                <m:r>
                  <w:rPr>
                    <w:rFonts w:ascii="Cambria Math" w:hAnsi="Cambria Math"/>
                    <w:lang w:val="en-US"/>
                  </w:rPr>
                  <m:t>Butyrate</m:t>
                </m:r>
                <m:r>
                  <m:rPr>
                    <m:sty m:val="p"/>
                  </m:rPr>
                  <w:rPr>
                    <w:rFonts w:ascii="Cambria Math" w:hAnsi="Cambria Math"/>
                  </w:rPr>
                  <m:t xml:space="preserve">+ 1.33 </m:t>
                </m:r>
                <m:sSup>
                  <m:sSupPr>
                    <m:ctrlPr>
                      <w:rPr>
                        <w:rFonts w:ascii="Cambria Math" w:hAnsi="Cambria Math"/>
                        <w:lang w:val="en-US"/>
                      </w:rPr>
                    </m:ctrlPr>
                  </m:sSupPr>
                  <m:e>
                    <m:r>
                      <w:rPr>
                        <w:rFonts w:ascii="Cambria Math" w:hAnsi="Cambria Math"/>
                        <w:lang w:val="en-US"/>
                      </w:rPr>
                      <m:t>H</m:t>
                    </m:r>
                  </m:e>
                  <m:sup>
                    <m:r>
                      <m:rPr>
                        <m:sty m:val="p"/>
                      </m:rPr>
                      <w:rPr>
                        <w:rFonts w:ascii="Cambria Math" w:hAnsi="Cambria Math"/>
                      </w:rPr>
                      <m:t>+</m:t>
                    </m:r>
                  </m:sup>
                </m:sSup>
                <m:r>
                  <m:rPr>
                    <m:sty m:val="p"/>
                  </m:rPr>
                  <w:rPr>
                    <w:rFonts w:ascii="Cambria Math" w:hAnsi="Cambria Math"/>
                  </w:rPr>
                  <m:t xml:space="preserve">+2.67 </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m:rPr>
                    <m:sty m:val="p"/>
                  </m:rPr>
                  <w:rPr>
                    <w:rFonts w:ascii="Cambria Math" w:hAnsi="Cambria Math"/>
                  </w:rPr>
                  <m:t xml:space="preserve">+2 </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 xml:space="preserve">+3.33 </m:t>
                </m:r>
                <m:r>
                  <w:rPr>
                    <w:rFonts w:ascii="Cambria Math" w:hAnsi="Cambria Math"/>
                    <w:lang w:val="en-US"/>
                  </w:rPr>
                  <m:t>ATP</m:t>
                </m:r>
              </m:oMath>
            </m:oMathPara>
          </w:p>
        </w:tc>
        <w:tc>
          <w:tcPr>
            <w:tcW w:w="1255" w:type="dxa"/>
          </w:tcPr>
          <w:p w14:paraId="6CDE0F93"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w:r w:rsidRPr="000C7A0A">
              <w:t>-307.8</w:t>
            </w:r>
          </w:p>
        </w:tc>
      </w:tr>
      <w:tr w:rsidR="00DA6DE4" w:rsidRPr="00DA6DE4" w14:paraId="1B3C1830" w14:textId="77777777" w:rsidTr="000C7A0A">
        <w:tc>
          <w:tcPr>
            <w:cnfStyle w:val="001000000000" w:firstRow="0" w:lastRow="0" w:firstColumn="1" w:lastColumn="0" w:oddVBand="0" w:evenVBand="0" w:oddHBand="0" w:evenHBand="0" w:firstRowFirstColumn="0" w:firstRowLastColumn="0" w:lastRowFirstColumn="0" w:lastRowLastColumn="0"/>
            <w:tcW w:w="570" w:type="dxa"/>
          </w:tcPr>
          <w:p w14:paraId="4568A8A9" w14:textId="77777777" w:rsidR="00DA6DE4" w:rsidRPr="000C7A0A" w:rsidRDefault="00DA6DE4" w:rsidP="00DA6DE4">
            <w:pPr>
              <w:pStyle w:val="FigureTitle"/>
              <w:spacing w:before="0" w:after="0" w:line="240" w:lineRule="auto"/>
            </w:pPr>
            <w:r w:rsidRPr="000C7A0A">
              <w:t>4</w:t>
            </w:r>
          </w:p>
        </w:tc>
        <w:tc>
          <w:tcPr>
            <w:tcW w:w="7384" w:type="dxa"/>
          </w:tcPr>
          <w:p w14:paraId="5B1B3468"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m:oMathPara>
              <m:oMathParaPr>
                <m:jc m:val="left"/>
              </m:oMathParaPr>
              <m:oMath>
                <m:r>
                  <w:rPr>
                    <w:rFonts w:ascii="Cambria Math" w:hAnsi="Cambria Math"/>
                    <w:lang w:val="en-US"/>
                  </w:rPr>
                  <m:t>Glucose</m:t>
                </m:r>
                <m:r>
                  <m:rPr>
                    <m:sty m:val="p"/>
                  </m:rPr>
                  <w:rPr>
                    <w:rFonts w:ascii="Cambria Math" w:hAnsi="Cambria Math"/>
                  </w:rPr>
                  <m:t xml:space="preserve"> →0.67 </m:t>
                </m:r>
                <m:r>
                  <w:rPr>
                    <w:rFonts w:ascii="Cambria Math" w:hAnsi="Cambria Math"/>
                    <w:lang w:val="en-US"/>
                  </w:rPr>
                  <m:t>Acetate</m:t>
                </m:r>
                <m:r>
                  <m:rPr>
                    <m:sty m:val="p"/>
                  </m:rPr>
                  <w:rPr>
                    <w:rFonts w:ascii="Cambria Math" w:hAnsi="Cambria Math"/>
                  </w:rPr>
                  <m:t xml:space="preserve">+ 1.33 </m:t>
                </m:r>
                <m:r>
                  <w:rPr>
                    <w:rFonts w:ascii="Cambria Math" w:hAnsi="Cambria Math"/>
                    <w:lang w:val="en-US"/>
                  </w:rPr>
                  <m:t>Propionate</m:t>
                </m:r>
                <m:r>
                  <m:rPr>
                    <m:sty m:val="p"/>
                  </m:rPr>
                  <w:rPr>
                    <w:rFonts w:ascii="Cambria Math" w:hAnsi="Cambria Math"/>
                  </w:rPr>
                  <m:t xml:space="preserve">+ 2 </m:t>
                </m:r>
                <m:sSup>
                  <m:sSupPr>
                    <m:ctrlPr>
                      <w:rPr>
                        <w:rFonts w:ascii="Cambria Math" w:hAnsi="Cambria Math"/>
                        <w:lang w:val="en-US"/>
                      </w:rPr>
                    </m:ctrlPr>
                  </m:sSupPr>
                  <m:e>
                    <m:r>
                      <w:rPr>
                        <w:rFonts w:ascii="Cambria Math" w:hAnsi="Cambria Math"/>
                        <w:lang w:val="en-US"/>
                      </w:rPr>
                      <m:t>H</m:t>
                    </m:r>
                  </m:e>
                  <m:sup>
                    <m:r>
                      <m:rPr>
                        <m:sty m:val="p"/>
                      </m:rPr>
                      <w:rPr>
                        <w:rFonts w:ascii="Cambria Math" w:hAnsi="Cambria Math"/>
                      </w:rPr>
                      <m:t>+</m:t>
                    </m:r>
                  </m:sup>
                </m:sSup>
                <m:r>
                  <m:rPr>
                    <m:sty m:val="p"/>
                  </m:rPr>
                  <w:rPr>
                    <w:rFonts w:ascii="Cambria Math" w:hAnsi="Cambria Math"/>
                  </w:rPr>
                  <m:t xml:space="preserve">+0.67 </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 xml:space="preserve">+2.67 </m:t>
                </m:r>
                <m:r>
                  <w:rPr>
                    <w:rFonts w:ascii="Cambria Math" w:hAnsi="Cambria Math"/>
                    <w:lang w:val="en-US"/>
                  </w:rPr>
                  <m:t>ATP</m:t>
                </m:r>
              </m:oMath>
            </m:oMathPara>
          </w:p>
        </w:tc>
        <w:tc>
          <w:tcPr>
            <w:tcW w:w="1255" w:type="dxa"/>
          </w:tcPr>
          <w:p w14:paraId="3DB671E4"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w:r w:rsidRPr="000C7A0A">
              <w:t>-317.2</w:t>
            </w:r>
          </w:p>
        </w:tc>
      </w:tr>
      <w:tr w:rsidR="00DA6DE4" w:rsidRPr="00DA6DE4" w14:paraId="5B03B968" w14:textId="77777777" w:rsidTr="000C7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6B78B38A" w14:textId="77777777" w:rsidR="00DA6DE4" w:rsidRPr="000C7A0A" w:rsidRDefault="00DA6DE4" w:rsidP="00DA6DE4">
            <w:pPr>
              <w:pStyle w:val="FigureTitle"/>
              <w:spacing w:before="0" w:after="0" w:line="240" w:lineRule="auto"/>
            </w:pPr>
            <w:r w:rsidRPr="000C7A0A">
              <w:t>5</w:t>
            </w:r>
          </w:p>
        </w:tc>
        <w:tc>
          <w:tcPr>
            <w:tcW w:w="7384" w:type="dxa"/>
          </w:tcPr>
          <w:p w14:paraId="108CA7A0"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m:oMathPara>
              <m:oMathParaPr>
                <m:jc m:val="left"/>
              </m:oMathParaPr>
              <m:oMath>
                <m:r>
                  <w:rPr>
                    <w:rFonts w:ascii="Cambria Math" w:hAnsi="Cambria Math"/>
                    <w:lang w:val="en-US"/>
                  </w:rPr>
                  <m:t>Glucose</m:t>
                </m:r>
                <m:r>
                  <m:rPr>
                    <m:sty m:val="p"/>
                  </m:rPr>
                  <w:rPr>
                    <w:rFonts w:ascii="Cambria Math" w:hAnsi="Cambria Math"/>
                  </w:rPr>
                  <m:t xml:space="preserve">+2 </m:t>
                </m:r>
                <m:r>
                  <w:rPr>
                    <w:rFonts w:ascii="Cambria Math" w:hAnsi="Cambria Math"/>
                    <w:lang w:val="en-US"/>
                  </w:rPr>
                  <m:t>Acetate</m:t>
                </m:r>
                <m:r>
                  <m:rPr>
                    <m:sty m:val="p"/>
                  </m:rPr>
                  <w:rPr>
                    <w:rFonts w:ascii="Cambria Math" w:hAnsi="Cambria Math"/>
                  </w:rPr>
                  <m:t xml:space="preserve"> → 2 </m:t>
                </m:r>
                <m:r>
                  <w:rPr>
                    <w:rFonts w:ascii="Cambria Math" w:hAnsi="Cambria Math"/>
                    <w:lang w:val="en-US"/>
                  </w:rPr>
                  <m:t>Butyrate</m:t>
                </m:r>
                <m:r>
                  <m:rPr>
                    <m:sty m:val="p"/>
                  </m:rPr>
                  <w:rPr>
                    <w:rFonts w:ascii="Cambria Math" w:hAnsi="Cambria Math"/>
                  </w:rPr>
                  <m:t xml:space="preserve">+ 2 </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 xml:space="preserve">+2 </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w:rPr>
                    <w:rFonts w:ascii="Cambria Math" w:hAnsi="Cambria Math"/>
                    <w:lang w:val="en-US"/>
                  </w:rPr>
                  <m:t>O</m:t>
                </m:r>
                <m:r>
                  <m:rPr>
                    <m:sty m:val="p"/>
                  </m:rPr>
                  <w:rPr>
                    <w:rFonts w:ascii="Cambria Math" w:hAnsi="Cambria Math"/>
                  </w:rPr>
                  <m:t xml:space="preserve">+2 </m:t>
                </m:r>
                <m:r>
                  <w:rPr>
                    <w:rFonts w:ascii="Cambria Math" w:hAnsi="Cambria Math"/>
                    <w:lang w:val="en-US"/>
                  </w:rPr>
                  <m:t>ATP</m:t>
                </m:r>
              </m:oMath>
            </m:oMathPara>
          </w:p>
        </w:tc>
        <w:tc>
          <w:tcPr>
            <w:tcW w:w="1255" w:type="dxa"/>
          </w:tcPr>
          <w:p w14:paraId="7F076D94"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w:r w:rsidRPr="000C7A0A">
              <w:t>-354.3</w:t>
            </w:r>
          </w:p>
        </w:tc>
      </w:tr>
      <w:tr w:rsidR="00DA6DE4" w:rsidRPr="00DA6DE4" w14:paraId="6557E1C8" w14:textId="77777777" w:rsidTr="000C7A0A">
        <w:tc>
          <w:tcPr>
            <w:cnfStyle w:val="001000000000" w:firstRow="0" w:lastRow="0" w:firstColumn="1" w:lastColumn="0" w:oddVBand="0" w:evenVBand="0" w:oddHBand="0" w:evenHBand="0" w:firstRowFirstColumn="0" w:firstRowLastColumn="0" w:lastRowFirstColumn="0" w:lastRowLastColumn="0"/>
            <w:tcW w:w="570" w:type="dxa"/>
          </w:tcPr>
          <w:p w14:paraId="38ECA153" w14:textId="77777777" w:rsidR="00DA6DE4" w:rsidRPr="000C7A0A" w:rsidRDefault="00DA6DE4" w:rsidP="00DA6DE4">
            <w:pPr>
              <w:pStyle w:val="FigureTitle"/>
              <w:spacing w:before="0" w:after="0" w:line="240" w:lineRule="auto"/>
            </w:pPr>
            <w:r w:rsidRPr="000C7A0A">
              <w:lastRenderedPageBreak/>
              <w:t>6</w:t>
            </w:r>
          </w:p>
        </w:tc>
        <w:tc>
          <w:tcPr>
            <w:tcW w:w="7384" w:type="dxa"/>
          </w:tcPr>
          <w:p w14:paraId="68F5BF1F"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m:oMathPara>
              <m:oMathParaPr>
                <m:jc m:val="left"/>
              </m:oMathParaPr>
              <m:oMath>
                <m:r>
                  <w:rPr>
                    <w:rFonts w:ascii="Cambria Math" w:hAnsi="Cambria Math"/>
                    <w:lang w:val="en-US"/>
                  </w:rPr>
                  <m:t>Glucose</m:t>
                </m:r>
                <m:r>
                  <m:rPr>
                    <m:sty m:val="p"/>
                  </m:rPr>
                  <w:rPr>
                    <w:rFonts w:ascii="Cambria Math" w:hAnsi="Cambria Math"/>
                  </w:rPr>
                  <m:t xml:space="preserve">+0.67 </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 xml:space="preserve">→1.33 </m:t>
                </m:r>
                <m:r>
                  <w:rPr>
                    <w:rFonts w:ascii="Cambria Math" w:hAnsi="Cambria Math"/>
                    <w:lang w:val="en-US"/>
                  </w:rPr>
                  <m:t>Succinate</m:t>
                </m:r>
                <m:r>
                  <m:rPr>
                    <m:sty m:val="p"/>
                  </m:rPr>
                  <w:rPr>
                    <w:rFonts w:ascii="Cambria Math" w:hAnsi="Cambria Math"/>
                  </w:rPr>
                  <m:t xml:space="preserve">+0.67 </m:t>
                </m:r>
                <m:r>
                  <w:rPr>
                    <w:rFonts w:ascii="Cambria Math" w:hAnsi="Cambria Math"/>
                    <w:lang w:val="en-US"/>
                  </w:rPr>
                  <m:t>Acetate</m:t>
                </m:r>
                <m:r>
                  <m:rPr>
                    <m:sty m:val="p"/>
                  </m:rPr>
                  <w:rPr>
                    <w:rFonts w:ascii="Cambria Math" w:hAnsi="Cambria Math"/>
                  </w:rPr>
                  <m:t xml:space="preserve">+0.67 </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w:rPr>
                    <w:rFonts w:ascii="Cambria Math" w:hAnsi="Cambria Math"/>
                    <w:lang w:val="en-US"/>
                  </w:rPr>
                  <m:t>O</m:t>
                </m:r>
                <m:r>
                  <m:rPr>
                    <m:sty m:val="p"/>
                  </m:rPr>
                  <w:rPr>
                    <w:rFonts w:ascii="Cambria Math" w:hAnsi="Cambria Math"/>
                  </w:rPr>
                  <m:t xml:space="preserve">+3.5 </m:t>
                </m:r>
                <m:sSup>
                  <m:sSupPr>
                    <m:ctrlPr>
                      <w:rPr>
                        <w:rFonts w:ascii="Cambria Math" w:hAnsi="Cambria Math"/>
                        <w:lang w:val="en-US"/>
                      </w:rPr>
                    </m:ctrlPr>
                  </m:sSupPr>
                  <m:e>
                    <m:r>
                      <w:rPr>
                        <w:rFonts w:ascii="Cambria Math" w:hAnsi="Cambria Math"/>
                        <w:lang w:val="en-US"/>
                      </w:rPr>
                      <m:t>H</m:t>
                    </m:r>
                  </m:e>
                  <m:sup>
                    <m:r>
                      <m:rPr>
                        <m:sty m:val="p"/>
                      </m:rPr>
                      <w:rPr>
                        <w:rFonts w:ascii="Cambria Math" w:hAnsi="Cambria Math"/>
                      </w:rPr>
                      <m:t>+</m:t>
                    </m:r>
                  </m:sup>
                </m:sSup>
                <m:r>
                  <m:rPr>
                    <m:sty m:val="p"/>
                  </m:rPr>
                  <w:rPr>
                    <w:rFonts w:ascii="Cambria Math" w:hAnsi="Cambria Math"/>
                  </w:rPr>
                  <m:t xml:space="preserve">+2 </m:t>
                </m:r>
                <m:r>
                  <w:rPr>
                    <w:rFonts w:ascii="Cambria Math" w:hAnsi="Cambria Math"/>
                    <w:lang w:val="en-US"/>
                  </w:rPr>
                  <m:t>ATP</m:t>
                </m:r>
              </m:oMath>
            </m:oMathPara>
          </w:p>
        </w:tc>
        <w:tc>
          <w:tcPr>
            <w:tcW w:w="1255" w:type="dxa"/>
          </w:tcPr>
          <w:p w14:paraId="36B1FD86"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w:r w:rsidRPr="000C7A0A">
              <w:t>-292.0</w:t>
            </w:r>
          </w:p>
        </w:tc>
      </w:tr>
      <w:tr w:rsidR="00DA6DE4" w:rsidRPr="00DA6DE4" w14:paraId="6BFAC692" w14:textId="77777777" w:rsidTr="000C7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777DA944" w14:textId="77777777" w:rsidR="00DA6DE4" w:rsidRPr="000C7A0A" w:rsidRDefault="00DA6DE4" w:rsidP="00DA6DE4">
            <w:pPr>
              <w:pStyle w:val="FigureTitle"/>
              <w:spacing w:before="0" w:after="0" w:line="240" w:lineRule="auto"/>
            </w:pPr>
            <w:r w:rsidRPr="000C7A0A">
              <w:t>7</w:t>
            </w:r>
          </w:p>
        </w:tc>
        <w:tc>
          <w:tcPr>
            <w:tcW w:w="7384" w:type="dxa"/>
          </w:tcPr>
          <w:p w14:paraId="2AD3A052"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m:oMathPara>
              <m:oMathParaPr>
                <m:jc m:val="left"/>
              </m:oMathParaPr>
              <m:oMath>
                <m:r>
                  <w:rPr>
                    <w:rFonts w:ascii="Cambria Math" w:hAnsi="Cambria Math"/>
                    <w:lang w:val="en-US"/>
                  </w:rPr>
                  <m:t>Glycerol</m:t>
                </m:r>
                <m:r>
                  <m:rPr>
                    <m:sty m:val="p"/>
                  </m:rPr>
                  <w:rPr>
                    <w:rFonts w:ascii="Cambria Math" w:hAnsi="Cambria Math"/>
                  </w:rPr>
                  <m:t xml:space="preserve"> →</m:t>
                </m:r>
                <m:r>
                  <w:rPr>
                    <w:rFonts w:ascii="Cambria Math" w:hAnsi="Cambria Math"/>
                    <w:lang w:val="en-US"/>
                  </w:rPr>
                  <m:t>Propionate</m:t>
                </m:r>
                <m:r>
                  <m:rPr>
                    <m:sty m:val="p"/>
                  </m:rPr>
                  <w:rPr>
                    <w:rFonts w:ascii="Cambria Math" w:hAnsi="Cambria Math"/>
                  </w:rPr>
                  <m:t>+</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w:rPr>
                    <w:rFonts w:ascii="Cambria Math" w:hAnsi="Cambria Math"/>
                    <w:lang w:val="en-US"/>
                  </w:rPr>
                  <m:t>O</m:t>
                </m:r>
                <m:r>
                  <m:rPr>
                    <m:sty m:val="p"/>
                  </m:rPr>
                  <w:rPr>
                    <w:rFonts w:ascii="Cambria Math" w:hAnsi="Cambria Math"/>
                  </w:rPr>
                  <m:t xml:space="preserve">+2 </m:t>
                </m:r>
                <m:r>
                  <w:rPr>
                    <w:rFonts w:ascii="Cambria Math" w:hAnsi="Cambria Math"/>
                    <w:lang w:val="en-US"/>
                  </w:rPr>
                  <m:t>ATP</m:t>
                </m:r>
              </m:oMath>
            </m:oMathPara>
          </w:p>
        </w:tc>
        <w:tc>
          <w:tcPr>
            <w:tcW w:w="1255" w:type="dxa"/>
          </w:tcPr>
          <w:p w14:paraId="13BA4521"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w:r w:rsidRPr="000C7A0A">
              <w:t>-152.5</w:t>
            </w:r>
          </w:p>
        </w:tc>
      </w:tr>
      <w:tr w:rsidR="00DA6DE4" w:rsidRPr="00DA6DE4" w14:paraId="59287113" w14:textId="77777777" w:rsidTr="000C7A0A">
        <w:tc>
          <w:tcPr>
            <w:cnfStyle w:val="001000000000" w:firstRow="0" w:lastRow="0" w:firstColumn="1" w:lastColumn="0" w:oddVBand="0" w:evenVBand="0" w:oddHBand="0" w:evenHBand="0" w:firstRowFirstColumn="0" w:firstRowLastColumn="0" w:lastRowFirstColumn="0" w:lastRowLastColumn="0"/>
            <w:tcW w:w="570" w:type="dxa"/>
          </w:tcPr>
          <w:p w14:paraId="0EA0C91A" w14:textId="77777777" w:rsidR="00DA6DE4" w:rsidRPr="000C7A0A" w:rsidRDefault="00DA6DE4" w:rsidP="00DA6DE4">
            <w:pPr>
              <w:pStyle w:val="FigureTitle"/>
              <w:spacing w:before="0" w:after="0" w:line="240" w:lineRule="auto"/>
            </w:pPr>
            <w:r w:rsidRPr="000C7A0A">
              <w:t>8</w:t>
            </w:r>
          </w:p>
        </w:tc>
        <w:tc>
          <w:tcPr>
            <w:tcW w:w="7384" w:type="dxa"/>
          </w:tcPr>
          <w:p w14:paraId="494F99E0"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m:oMathPara>
              <m:oMathParaPr>
                <m:jc m:val="left"/>
              </m:oMathParaPr>
              <m:oMath>
                <m:r>
                  <w:rPr>
                    <w:rFonts w:ascii="Cambria Math" w:hAnsi="Cambria Math"/>
                    <w:lang w:val="en-US"/>
                  </w:rPr>
                  <m:t>Glycerol</m:t>
                </m:r>
                <m:r>
                  <m:rPr>
                    <m:sty m:val="p"/>
                  </m:rPr>
                  <w:rPr>
                    <w:rFonts w:ascii="Cambria Math" w:hAnsi="Cambria Math"/>
                  </w:rPr>
                  <m:t xml:space="preserve"> →</m:t>
                </m:r>
                <m:r>
                  <w:rPr>
                    <w:rFonts w:ascii="Cambria Math" w:hAnsi="Cambria Math"/>
                    <w:lang w:val="en-US"/>
                  </w:rPr>
                  <m:t>Lactate</m:t>
                </m:r>
                <m:r>
                  <m:rPr>
                    <m:sty m:val="p"/>
                  </m:rPr>
                  <w:rPr>
                    <w:rFonts w:ascii="Cambria Math" w:hAnsi="Cambria Math"/>
                  </w:rPr>
                  <m:t>+</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m:rPr>
                    <m:sty m:val="p"/>
                  </m:rPr>
                  <w:rPr>
                    <w:rFonts w:ascii="Cambria Math" w:hAnsi="Cambria Math"/>
                  </w:rPr>
                  <m:t xml:space="preserve">+1 </m:t>
                </m:r>
                <m:r>
                  <w:rPr>
                    <w:rFonts w:ascii="Cambria Math" w:hAnsi="Cambria Math"/>
                    <w:lang w:val="en-US"/>
                  </w:rPr>
                  <m:t>ATP</m:t>
                </m:r>
              </m:oMath>
            </m:oMathPara>
          </w:p>
        </w:tc>
        <w:tc>
          <w:tcPr>
            <w:tcW w:w="1255" w:type="dxa"/>
          </w:tcPr>
          <w:p w14:paraId="0DCEFF65"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w:r w:rsidRPr="000C7A0A">
              <w:t>-92.4</w:t>
            </w:r>
          </w:p>
        </w:tc>
      </w:tr>
      <w:tr w:rsidR="00DA6DE4" w:rsidRPr="00DA6DE4" w14:paraId="4A2EC5AE" w14:textId="77777777" w:rsidTr="000C7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7F86C642" w14:textId="77777777" w:rsidR="00DA6DE4" w:rsidRPr="000C7A0A" w:rsidRDefault="00DA6DE4" w:rsidP="00DA6DE4">
            <w:pPr>
              <w:pStyle w:val="FigureTitle"/>
              <w:spacing w:before="0" w:after="0" w:line="240" w:lineRule="auto"/>
            </w:pPr>
            <w:r w:rsidRPr="000C7A0A">
              <w:t>9</w:t>
            </w:r>
          </w:p>
        </w:tc>
        <w:tc>
          <w:tcPr>
            <w:tcW w:w="7384" w:type="dxa"/>
          </w:tcPr>
          <w:p w14:paraId="7070C271"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m:oMathPara>
              <m:oMathParaPr>
                <m:jc m:val="left"/>
              </m:oMathParaPr>
              <m:oMath>
                <m:r>
                  <w:rPr>
                    <w:rFonts w:ascii="Cambria Math" w:hAnsi="Cambria Math"/>
                    <w:lang w:val="en-US"/>
                  </w:rPr>
                  <m:t>Glycerol</m:t>
                </m:r>
                <m:r>
                  <m:rPr>
                    <m:sty m:val="p"/>
                  </m:rPr>
                  <w:rPr>
                    <w:rFonts w:ascii="Cambria Math" w:hAnsi="Cambria Math"/>
                  </w:rPr>
                  <m:t xml:space="preserve"> →0.67 </m:t>
                </m:r>
                <m:r>
                  <w:rPr>
                    <w:rFonts w:ascii="Cambria Math" w:hAnsi="Cambria Math"/>
                    <w:lang w:val="en-US"/>
                  </w:rPr>
                  <m:t>Propionate</m:t>
                </m:r>
                <m:r>
                  <m:rPr>
                    <m:sty m:val="p"/>
                  </m:rPr>
                  <w:rPr>
                    <w:rFonts w:ascii="Cambria Math" w:hAnsi="Cambria Math"/>
                  </w:rPr>
                  <m:t xml:space="preserve">+0.33 </m:t>
                </m:r>
                <m:r>
                  <w:rPr>
                    <w:rFonts w:ascii="Cambria Math" w:hAnsi="Cambria Math"/>
                    <w:lang w:val="en-US"/>
                  </w:rPr>
                  <m:t>Acetate</m:t>
                </m:r>
                <m:r>
                  <m:rPr>
                    <m:sty m:val="p"/>
                  </m:rPr>
                  <w:rPr>
                    <w:rFonts w:ascii="Cambria Math" w:hAnsi="Cambria Math"/>
                  </w:rPr>
                  <m:t xml:space="preserve">+0.33 </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m:t>
                </m:r>
                <m:sSub>
                  <m:sSubPr>
                    <m:ctrlPr>
                      <w:rPr>
                        <w:rFonts w:ascii="Cambria Math" w:hAnsi="Cambria Math"/>
                        <w:lang w:val="en-US"/>
                      </w:rPr>
                    </m:ctrlPr>
                  </m:sSubPr>
                  <m:e>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m:rPr>
                        <m:sty m:val="p"/>
                      </m:rPr>
                      <w:rPr>
                        <w:rFonts w:ascii="Cambria Math" w:hAnsi="Cambria Math"/>
                      </w:rPr>
                      <m:t xml:space="preserve">+0.33 </m:t>
                    </m:r>
                    <m:r>
                      <w:rPr>
                        <w:rFonts w:ascii="Cambria Math" w:hAnsi="Cambria Math"/>
                        <w:lang w:val="en-US"/>
                      </w:rPr>
                      <m:t>H</m:t>
                    </m:r>
                  </m:e>
                  <m:sub>
                    <m:r>
                      <m:rPr>
                        <m:sty m:val="p"/>
                      </m:rPr>
                      <w:rPr>
                        <w:rFonts w:ascii="Cambria Math" w:hAnsi="Cambria Math"/>
                      </w:rPr>
                      <m:t>2</m:t>
                    </m:r>
                  </m:sub>
                </m:sSub>
                <m:r>
                  <w:rPr>
                    <w:rFonts w:ascii="Cambria Math" w:hAnsi="Cambria Math"/>
                    <w:lang w:val="en-US"/>
                  </w:rPr>
                  <m:t>O</m:t>
                </m:r>
                <m:r>
                  <m:rPr>
                    <m:sty m:val="p"/>
                  </m:rPr>
                  <w:rPr>
                    <w:rFonts w:ascii="Cambria Math" w:hAnsi="Cambria Math"/>
                  </w:rPr>
                  <m:t xml:space="preserve">+ 2 </m:t>
                </m:r>
                <m:sSup>
                  <m:sSupPr>
                    <m:ctrlPr>
                      <w:rPr>
                        <w:rFonts w:ascii="Cambria Math" w:hAnsi="Cambria Math"/>
                        <w:lang w:val="en-US"/>
                      </w:rPr>
                    </m:ctrlPr>
                  </m:sSupPr>
                  <m:e>
                    <m:r>
                      <w:rPr>
                        <w:rFonts w:ascii="Cambria Math" w:hAnsi="Cambria Math"/>
                        <w:lang w:val="en-US"/>
                      </w:rPr>
                      <m:t>H</m:t>
                    </m:r>
                  </m:e>
                  <m:sup>
                    <m:r>
                      <m:rPr>
                        <m:sty m:val="p"/>
                      </m:rPr>
                      <w:rPr>
                        <w:rFonts w:ascii="Cambria Math" w:hAnsi="Cambria Math"/>
                      </w:rPr>
                      <m:t>+</m:t>
                    </m:r>
                  </m:sup>
                </m:sSup>
                <m:r>
                  <m:rPr>
                    <m:sty m:val="p"/>
                  </m:rPr>
                  <w:rPr>
                    <w:rFonts w:ascii="Cambria Math" w:hAnsi="Cambria Math"/>
                  </w:rPr>
                  <m:t xml:space="preserve">+1.67 </m:t>
                </m:r>
                <m:r>
                  <w:rPr>
                    <w:rFonts w:ascii="Cambria Math" w:hAnsi="Cambria Math"/>
                    <w:lang w:val="en-US"/>
                  </w:rPr>
                  <m:t>ATP</m:t>
                </m:r>
              </m:oMath>
            </m:oMathPara>
          </w:p>
        </w:tc>
        <w:tc>
          <w:tcPr>
            <w:tcW w:w="1255" w:type="dxa"/>
          </w:tcPr>
          <w:p w14:paraId="30E05B9E"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w:r w:rsidRPr="000C7A0A">
              <w:t>-149.7</w:t>
            </w:r>
          </w:p>
          <w:p w14:paraId="2A278BE6"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w:p>
        </w:tc>
      </w:tr>
      <w:tr w:rsidR="00DA6DE4" w:rsidRPr="00DA6DE4" w14:paraId="09B28635" w14:textId="77777777" w:rsidTr="000C7A0A">
        <w:tc>
          <w:tcPr>
            <w:cnfStyle w:val="001000000000" w:firstRow="0" w:lastRow="0" w:firstColumn="1" w:lastColumn="0" w:oddVBand="0" w:evenVBand="0" w:oddHBand="0" w:evenHBand="0" w:firstRowFirstColumn="0" w:firstRowLastColumn="0" w:lastRowFirstColumn="0" w:lastRowLastColumn="0"/>
            <w:tcW w:w="570" w:type="dxa"/>
          </w:tcPr>
          <w:p w14:paraId="7F6276DA" w14:textId="77777777" w:rsidR="00DA6DE4" w:rsidRPr="000C7A0A" w:rsidRDefault="00DA6DE4" w:rsidP="00DA6DE4">
            <w:pPr>
              <w:pStyle w:val="FigureTitle"/>
              <w:spacing w:before="0" w:after="0" w:line="240" w:lineRule="auto"/>
            </w:pPr>
            <w:r w:rsidRPr="000C7A0A">
              <w:t>10</w:t>
            </w:r>
          </w:p>
        </w:tc>
        <w:tc>
          <w:tcPr>
            <w:tcW w:w="7384" w:type="dxa"/>
          </w:tcPr>
          <w:p w14:paraId="7F7696CE"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m:oMathPara>
              <m:oMathParaPr>
                <m:jc m:val="left"/>
              </m:oMathParaPr>
              <m:oMath>
                <m:r>
                  <w:rPr>
                    <w:rFonts w:ascii="Cambria Math" w:hAnsi="Cambria Math"/>
                    <w:lang w:val="en-US"/>
                  </w:rPr>
                  <m:t>Glycerol</m:t>
                </m:r>
                <m:r>
                  <m:rPr>
                    <m:sty m:val="p"/>
                  </m:rPr>
                  <w:rPr>
                    <w:rFonts w:ascii="Cambria Math" w:hAnsi="Cambria Math"/>
                  </w:rPr>
                  <m:t>+</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m:t>
                </m:r>
                <m:r>
                  <w:rPr>
                    <w:rFonts w:ascii="Cambria Math" w:hAnsi="Cambria Math"/>
                    <w:lang w:val="en-US"/>
                  </w:rPr>
                  <m:t>Succinate</m:t>
                </m:r>
                <m:r>
                  <m:rPr>
                    <m:sty m:val="p"/>
                  </m:rPr>
                  <w:rPr>
                    <w:rFonts w:ascii="Cambria Math" w:hAnsi="Cambria Math"/>
                  </w:rPr>
                  <m:t>+</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w:rPr>
                    <w:rFonts w:ascii="Cambria Math" w:hAnsi="Cambria Math"/>
                    <w:lang w:val="en-US"/>
                  </w:rPr>
                  <m:t>O</m:t>
                </m:r>
                <m:r>
                  <m:rPr>
                    <m:sty m:val="p"/>
                  </m:rPr>
                  <w:rPr>
                    <w:rFonts w:ascii="Cambria Math" w:hAnsi="Cambria Math"/>
                  </w:rPr>
                  <m:t xml:space="preserve">+2 </m:t>
                </m:r>
                <m:r>
                  <w:rPr>
                    <w:rFonts w:ascii="Cambria Math" w:hAnsi="Cambria Math"/>
                    <w:lang w:val="en-US"/>
                  </w:rPr>
                  <m:t>ATP</m:t>
                </m:r>
              </m:oMath>
            </m:oMathPara>
          </w:p>
        </w:tc>
        <w:tc>
          <w:tcPr>
            <w:tcW w:w="1255" w:type="dxa"/>
          </w:tcPr>
          <w:p w14:paraId="038468BB"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w:r w:rsidRPr="000C7A0A">
              <w:t>-109.3</w:t>
            </w:r>
          </w:p>
        </w:tc>
      </w:tr>
      <w:tr w:rsidR="00DA6DE4" w:rsidRPr="00DA6DE4" w14:paraId="3EF70C09" w14:textId="77777777" w:rsidTr="000C7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20D3628B" w14:textId="77777777" w:rsidR="00DA6DE4" w:rsidRPr="000C7A0A" w:rsidRDefault="00DA6DE4" w:rsidP="00DA6DE4">
            <w:pPr>
              <w:pStyle w:val="FigureTitle"/>
              <w:spacing w:before="0" w:after="0" w:line="240" w:lineRule="auto"/>
            </w:pPr>
            <w:r w:rsidRPr="000C7A0A">
              <w:t>11</w:t>
            </w:r>
          </w:p>
        </w:tc>
        <w:tc>
          <w:tcPr>
            <w:tcW w:w="7384" w:type="dxa"/>
          </w:tcPr>
          <w:p w14:paraId="68782651"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m:oMathPara>
              <m:oMathParaPr>
                <m:jc m:val="left"/>
              </m:oMathParaPr>
              <m:oMath>
                <m:r>
                  <m:rPr>
                    <m:sty m:val="p"/>
                  </m:rPr>
                  <w:rPr>
                    <w:rFonts w:ascii="Cambria Math" w:hAnsi="Cambria Math"/>
                  </w:rPr>
                  <m:t xml:space="preserve">3 </m:t>
                </m:r>
                <m:r>
                  <w:rPr>
                    <w:rFonts w:ascii="Cambria Math" w:hAnsi="Cambria Math"/>
                    <w:lang w:val="en-US"/>
                  </w:rPr>
                  <m:t>Lactate</m:t>
                </m:r>
                <m:r>
                  <m:rPr>
                    <m:sty m:val="p"/>
                  </m:rPr>
                  <w:rPr>
                    <w:rFonts w:ascii="Cambria Math" w:hAnsi="Cambria Math"/>
                  </w:rPr>
                  <m:t>→</m:t>
                </m:r>
                <m:r>
                  <w:rPr>
                    <w:rFonts w:ascii="Cambria Math" w:hAnsi="Cambria Math"/>
                    <w:lang w:val="en-US"/>
                  </w:rPr>
                  <m:t>Acetate</m:t>
                </m:r>
                <m:r>
                  <m:rPr>
                    <m:sty m:val="p"/>
                  </m:rPr>
                  <w:rPr>
                    <w:rFonts w:ascii="Cambria Math" w:hAnsi="Cambria Math"/>
                  </w:rPr>
                  <m:t xml:space="preserve">+2 </m:t>
                </m:r>
                <m:r>
                  <w:rPr>
                    <w:rFonts w:ascii="Cambria Math" w:hAnsi="Cambria Math"/>
                    <w:lang w:val="en-US"/>
                  </w:rPr>
                  <m:t>Propionate</m:t>
                </m:r>
                <m:r>
                  <m:rPr>
                    <m:sty m:val="p"/>
                  </m:rPr>
                  <w:rPr>
                    <w:rFonts w:ascii="Cambria Math" w:hAnsi="Cambria Math"/>
                  </w:rPr>
                  <m:t xml:space="preserve">+2 </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 xml:space="preserve">+1.5 </m:t>
                </m:r>
                <m:r>
                  <w:rPr>
                    <w:rFonts w:ascii="Cambria Math" w:hAnsi="Cambria Math"/>
                    <w:lang w:val="en-US"/>
                  </w:rPr>
                  <m:t>ATP</m:t>
                </m:r>
                <m:r>
                  <m:rPr>
                    <m:sty m:val="p"/>
                  </m:rPr>
                  <w:rPr>
                    <w:rFonts w:ascii="Cambria Math" w:hAnsi="Cambria Math"/>
                  </w:rPr>
                  <m:t xml:space="preserve"> </m:t>
                </m:r>
              </m:oMath>
            </m:oMathPara>
          </w:p>
        </w:tc>
        <w:tc>
          <w:tcPr>
            <w:tcW w:w="1255" w:type="dxa"/>
          </w:tcPr>
          <w:p w14:paraId="6462D7A0"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w:r w:rsidRPr="000C7A0A">
              <w:t>-171.3</w:t>
            </w:r>
          </w:p>
        </w:tc>
      </w:tr>
      <w:tr w:rsidR="00DA6DE4" w:rsidRPr="00DA6DE4" w14:paraId="70393285" w14:textId="77777777" w:rsidTr="000C7A0A">
        <w:tc>
          <w:tcPr>
            <w:cnfStyle w:val="001000000000" w:firstRow="0" w:lastRow="0" w:firstColumn="1" w:lastColumn="0" w:oddVBand="0" w:evenVBand="0" w:oddHBand="0" w:evenHBand="0" w:firstRowFirstColumn="0" w:firstRowLastColumn="0" w:lastRowFirstColumn="0" w:lastRowLastColumn="0"/>
            <w:tcW w:w="570" w:type="dxa"/>
          </w:tcPr>
          <w:p w14:paraId="2695993A" w14:textId="77777777" w:rsidR="00DA6DE4" w:rsidRPr="000C7A0A" w:rsidRDefault="00DA6DE4" w:rsidP="00DA6DE4">
            <w:pPr>
              <w:pStyle w:val="FigureTitle"/>
              <w:spacing w:before="0" w:after="0" w:line="240" w:lineRule="auto"/>
            </w:pPr>
            <w:r w:rsidRPr="000C7A0A">
              <w:t>12</w:t>
            </w:r>
          </w:p>
        </w:tc>
        <w:tc>
          <w:tcPr>
            <w:tcW w:w="7384" w:type="dxa"/>
          </w:tcPr>
          <w:p w14:paraId="54240562"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m:oMathPara>
              <m:oMathParaPr>
                <m:jc m:val="left"/>
              </m:oMathParaPr>
              <m:oMath>
                <m:r>
                  <m:rPr>
                    <m:sty m:val="p"/>
                  </m:rPr>
                  <w:rPr>
                    <w:rFonts w:ascii="Cambria Math" w:hAnsi="Cambria Math"/>
                  </w:rPr>
                  <m:t xml:space="preserve">2 </m:t>
                </m:r>
                <m:r>
                  <w:rPr>
                    <w:rFonts w:ascii="Cambria Math" w:hAnsi="Cambria Math"/>
                    <w:lang w:val="en-US"/>
                  </w:rPr>
                  <m:t>Lactate</m:t>
                </m:r>
                <m:r>
                  <m:rPr>
                    <m:sty m:val="p"/>
                  </m:rPr>
                  <w:rPr>
                    <w:rFonts w:ascii="Cambria Math" w:hAnsi="Cambria Math"/>
                  </w:rPr>
                  <m:t xml:space="preserve">+ </m:t>
                </m:r>
                <m:sSup>
                  <m:sSupPr>
                    <m:ctrlPr>
                      <w:rPr>
                        <w:rFonts w:ascii="Cambria Math" w:hAnsi="Cambria Math"/>
                        <w:lang w:val="en-US"/>
                      </w:rPr>
                    </m:ctrlPr>
                  </m:sSupPr>
                  <m:e>
                    <m:r>
                      <w:rPr>
                        <w:rFonts w:ascii="Cambria Math" w:hAnsi="Cambria Math"/>
                        <w:lang w:val="en-US"/>
                      </w:rPr>
                      <m:t>H</m:t>
                    </m:r>
                  </m:e>
                  <m:sup>
                    <m:r>
                      <m:rPr>
                        <m:sty m:val="p"/>
                      </m:rPr>
                      <w:rPr>
                        <w:rFonts w:ascii="Cambria Math" w:hAnsi="Cambria Math"/>
                      </w:rPr>
                      <m:t>+</m:t>
                    </m:r>
                  </m:sup>
                </m:sSup>
                <m:r>
                  <m:rPr>
                    <m:sty m:val="p"/>
                  </m:rPr>
                  <w:rPr>
                    <w:rFonts w:ascii="Cambria Math" w:hAnsi="Cambria Math"/>
                  </w:rPr>
                  <m:t>→</m:t>
                </m:r>
                <m:r>
                  <w:rPr>
                    <w:rFonts w:ascii="Cambria Math" w:hAnsi="Cambria Math"/>
                    <w:lang w:val="en-US"/>
                  </w:rPr>
                  <m:t>Butyrate</m:t>
                </m:r>
                <m:r>
                  <m:rPr>
                    <m:sty m:val="p"/>
                  </m:rPr>
                  <w:rPr>
                    <w:rFonts w:ascii="Cambria Math" w:hAnsi="Cambria Math"/>
                  </w:rPr>
                  <m:t xml:space="preserve">+2 </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m:rPr>
                    <m:sty m:val="p"/>
                  </m:rPr>
                  <w:rPr>
                    <w:rFonts w:ascii="Cambria Math" w:hAnsi="Cambria Math"/>
                  </w:rPr>
                  <m:t xml:space="preserve">+2 </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 xml:space="preserve">+1.5 </m:t>
                </m:r>
                <m:r>
                  <w:rPr>
                    <w:rFonts w:ascii="Cambria Math" w:hAnsi="Cambria Math"/>
                    <w:lang w:val="en-US"/>
                  </w:rPr>
                  <m:t>ATP</m:t>
                </m:r>
              </m:oMath>
            </m:oMathPara>
          </w:p>
        </w:tc>
        <w:tc>
          <w:tcPr>
            <w:tcW w:w="1255" w:type="dxa"/>
          </w:tcPr>
          <w:p w14:paraId="04EF6D1A"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w:r w:rsidRPr="000C7A0A">
              <w:t>-64.3</w:t>
            </w:r>
          </w:p>
        </w:tc>
      </w:tr>
      <w:tr w:rsidR="00DA6DE4" w:rsidRPr="00DA6DE4" w14:paraId="272F9341" w14:textId="77777777" w:rsidTr="000C7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5D53FB5F" w14:textId="77777777" w:rsidR="00DA6DE4" w:rsidRPr="000C7A0A" w:rsidRDefault="00DA6DE4" w:rsidP="00DA6DE4">
            <w:pPr>
              <w:pStyle w:val="FigureTitle"/>
              <w:spacing w:before="0" w:after="0" w:line="240" w:lineRule="auto"/>
            </w:pPr>
            <w:r w:rsidRPr="000C7A0A">
              <w:t>13</w:t>
            </w:r>
          </w:p>
        </w:tc>
        <w:tc>
          <w:tcPr>
            <w:tcW w:w="7384" w:type="dxa"/>
          </w:tcPr>
          <w:p w14:paraId="79DF4A71"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m:oMathPara>
              <m:oMathParaPr>
                <m:jc m:val="left"/>
              </m:oMathParaPr>
              <m:oMath>
                <m:r>
                  <w:rPr>
                    <w:rFonts w:ascii="Cambria Math" w:hAnsi="Cambria Math"/>
                    <w:lang w:val="en-US"/>
                  </w:rPr>
                  <m:t>Lactate</m:t>
                </m:r>
                <m:r>
                  <m:rPr>
                    <m:sty m:val="p"/>
                  </m:rPr>
                  <w:rPr>
                    <w:rFonts w:ascii="Cambria Math" w:hAnsi="Cambria Math"/>
                  </w:rPr>
                  <m:t xml:space="preserve">+ </m:t>
                </m:r>
                <m:r>
                  <w:rPr>
                    <w:rFonts w:ascii="Cambria Math" w:hAnsi="Cambria Math"/>
                    <w:lang w:val="en-US"/>
                  </w:rPr>
                  <m:t>Acetate</m:t>
                </m:r>
                <m:r>
                  <m:rPr>
                    <m:sty m:val="p"/>
                  </m:rPr>
                  <w:rPr>
                    <w:rFonts w:ascii="Cambria Math" w:hAnsi="Cambria Math"/>
                  </w:rPr>
                  <m:t>+</m:t>
                </m:r>
                <m:sSup>
                  <m:sSupPr>
                    <m:ctrlPr>
                      <w:rPr>
                        <w:rFonts w:ascii="Cambria Math" w:hAnsi="Cambria Math"/>
                        <w:lang w:val="en-US"/>
                      </w:rPr>
                    </m:ctrlPr>
                  </m:sSupPr>
                  <m:e>
                    <m:r>
                      <w:rPr>
                        <w:rFonts w:ascii="Cambria Math" w:hAnsi="Cambria Math"/>
                        <w:lang w:val="en-US"/>
                      </w:rPr>
                      <m:t>H</m:t>
                    </m:r>
                  </m:e>
                  <m:sup>
                    <m:r>
                      <m:rPr>
                        <m:sty m:val="p"/>
                      </m:rPr>
                      <w:rPr>
                        <w:rFonts w:ascii="Cambria Math" w:hAnsi="Cambria Math"/>
                      </w:rPr>
                      <m:t>+</m:t>
                    </m:r>
                  </m:sup>
                </m:sSup>
                <m:r>
                  <m:rPr>
                    <m:sty m:val="p"/>
                  </m:rPr>
                  <w:rPr>
                    <w:rFonts w:ascii="Cambria Math" w:hAnsi="Cambria Math"/>
                  </w:rPr>
                  <m:t>→</m:t>
                </m:r>
                <m:r>
                  <w:rPr>
                    <w:rFonts w:ascii="Cambria Math" w:hAnsi="Cambria Math"/>
                    <w:lang w:val="en-US"/>
                  </w:rPr>
                  <m:t>Butyrate</m:t>
                </m:r>
                <m:r>
                  <m:rPr>
                    <m:sty m:val="p"/>
                  </m:rPr>
                  <w:rPr>
                    <w:rFonts w:ascii="Cambria Math" w:hAnsi="Cambria Math"/>
                  </w:rPr>
                  <m:t>+</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w:rPr>
                    <w:rFonts w:ascii="Cambria Math" w:hAnsi="Cambria Math"/>
                    <w:lang w:val="en-US"/>
                  </w:rPr>
                  <m:t>O</m:t>
                </m:r>
                <m:r>
                  <m:rPr>
                    <m:sty m:val="p"/>
                  </m:rPr>
                  <w:rPr>
                    <w:rFonts w:ascii="Cambria Math" w:hAnsi="Cambria Math"/>
                  </w:rPr>
                  <m:t xml:space="preserve">+0.5 </m:t>
                </m:r>
                <m:r>
                  <w:rPr>
                    <w:rFonts w:ascii="Cambria Math" w:hAnsi="Cambria Math"/>
                    <w:lang w:val="en-US"/>
                  </w:rPr>
                  <m:t>ATP</m:t>
                </m:r>
              </m:oMath>
            </m:oMathPara>
          </w:p>
        </w:tc>
        <w:tc>
          <w:tcPr>
            <w:tcW w:w="1255" w:type="dxa"/>
          </w:tcPr>
          <w:p w14:paraId="0637D694"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w:r w:rsidRPr="000C7A0A">
              <w:t>-96.9</w:t>
            </w:r>
          </w:p>
        </w:tc>
      </w:tr>
      <w:tr w:rsidR="00DA6DE4" w:rsidRPr="00DA6DE4" w14:paraId="7980A746" w14:textId="77777777" w:rsidTr="000C7A0A">
        <w:tc>
          <w:tcPr>
            <w:cnfStyle w:val="001000000000" w:firstRow="0" w:lastRow="0" w:firstColumn="1" w:lastColumn="0" w:oddVBand="0" w:evenVBand="0" w:oddHBand="0" w:evenHBand="0" w:firstRowFirstColumn="0" w:firstRowLastColumn="0" w:lastRowFirstColumn="0" w:lastRowLastColumn="0"/>
            <w:tcW w:w="570" w:type="dxa"/>
          </w:tcPr>
          <w:p w14:paraId="6730F3E3" w14:textId="77777777" w:rsidR="00DA6DE4" w:rsidRPr="000C7A0A" w:rsidRDefault="00DA6DE4" w:rsidP="00DA6DE4">
            <w:pPr>
              <w:pStyle w:val="FigureTitle"/>
              <w:spacing w:before="0" w:after="0" w:line="240" w:lineRule="auto"/>
            </w:pPr>
            <w:r w:rsidRPr="000C7A0A">
              <w:t>14</w:t>
            </w:r>
          </w:p>
        </w:tc>
        <w:tc>
          <w:tcPr>
            <w:tcW w:w="7384" w:type="dxa"/>
          </w:tcPr>
          <w:p w14:paraId="5C092C0C"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m:oMathPara>
              <m:oMathParaPr>
                <m:jc m:val="left"/>
              </m:oMathParaPr>
              <m:oMath>
                <m:r>
                  <w:rPr>
                    <w:rFonts w:ascii="Cambria Math" w:hAnsi="Cambria Math"/>
                    <w:lang w:val="en-US"/>
                  </w:rPr>
                  <m:t>Butyrate</m:t>
                </m:r>
                <m:r>
                  <m:rPr>
                    <m:sty m:val="p"/>
                  </m:rPr>
                  <w:rPr>
                    <w:rFonts w:ascii="Cambria Math" w:hAnsi="Cambria Math"/>
                  </w:rPr>
                  <m:t>+</m:t>
                </m:r>
                <m:sSub>
                  <m:sSubPr>
                    <m:ctrlPr>
                      <w:rPr>
                        <w:rFonts w:ascii="Cambria Math" w:hAnsi="Cambria Math"/>
                        <w:lang w:val="en-US"/>
                      </w:rPr>
                    </m:ctrlPr>
                  </m:sSubPr>
                  <m:e>
                    <m:r>
                      <m:rPr>
                        <m:sty m:val="p"/>
                      </m:rPr>
                      <w:rPr>
                        <w:rFonts w:ascii="Cambria Math" w:hAnsi="Cambria Math"/>
                      </w:rPr>
                      <m:t>2</m:t>
                    </m:r>
                    <m:r>
                      <w:rPr>
                        <w:rFonts w:ascii="Cambria Math" w:hAnsi="Cambria Math"/>
                        <w:lang w:val="en-US"/>
                      </w:rPr>
                      <m:t>H</m:t>
                    </m:r>
                  </m:e>
                  <m:sub>
                    <m:r>
                      <m:rPr>
                        <m:sty m:val="p"/>
                      </m:rPr>
                      <w:rPr>
                        <w:rFonts w:ascii="Cambria Math" w:hAnsi="Cambria Math"/>
                      </w:rPr>
                      <m:t>2</m:t>
                    </m:r>
                  </m:sub>
                </m:sSub>
                <m:r>
                  <w:rPr>
                    <w:rFonts w:ascii="Cambria Math" w:hAnsi="Cambria Math"/>
                    <w:lang w:val="en-US"/>
                  </w:rPr>
                  <m:t>O</m:t>
                </m:r>
                <m:r>
                  <m:rPr>
                    <m:sty m:val="p"/>
                  </m:rPr>
                  <w:rPr>
                    <w:rFonts w:ascii="Cambria Math" w:hAnsi="Cambria Math"/>
                  </w:rPr>
                  <m:t xml:space="preserve"> →2 </m:t>
                </m:r>
                <m:r>
                  <w:rPr>
                    <w:rFonts w:ascii="Cambria Math" w:hAnsi="Cambria Math"/>
                    <w:lang w:val="en-US"/>
                  </w:rPr>
                  <m:t>Acetate</m:t>
                </m:r>
                <m:r>
                  <m:rPr>
                    <m:sty m:val="p"/>
                  </m:rPr>
                  <w:rPr>
                    <w:rFonts w:ascii="Cambria Math" w:hAnsi="Cambria Math"/>
                  </w:rPr>
                  <m:t>+</m:t>
                </m:r>
                <m:sSup>
                  <m:sSupPr>
                    <m:ctrlPr>
                      <w:rPr>
                        <w:rFonts w:ascii="Cambria Math" w:hAnsi="Cambria Math"/>
                        <w:lang w:val="en-US"/>
                      </w:rPr>
                    </m:ctrlPr>
                  </m:sSupPr>
                  <m:e>
                    <m:r>
                      <w:rPr>
                        <w:rFonts w:ascii="Cambria Math" w:hAnsi="Cambria Math"/>
                        <w:lang w:val="en-US"/>
                      </w:rPr>
                      <m:t>H</m:t>
                    </m:r>
                  </m:e>
                  <m:sup>
                    <m:r>
                      <m:rPr>
                        <m:sty m:val="p"/>
                      </m:rPr>
                      <w:rPr>
                        <w:rFonts w:ascii="Cambria Math" w:hAnsi="Cambria Math"/>
                      </w:rPr>
                      <m:t>+</m:t>
                    </m:r>
                  </m:sup>
                </m:sSup>
                <m:r>
                  <m:rPr>
                    <m:sty m:val="p"/>
                  </m:rPr>
                  <w:rPr>
                    <w:rFonts w:ascii="Cambria Math" w:hAnsi="Cambria Math"/>
                  </w:rPr>
                  <m:t>+</m:t>
                </m:r>
                <m:sSub>
                  <m:sSubPr>
                    <m:ctrlPr>
                      <w:rPr>
                        <w:rFonts w:ascii="Cambria Math" w:hAnsi="Cambria Math"/>
                        <w:lang w:val="en-US"/>
                      </w:rPr>
                    </m:ctrlPr>
                  </m:sSubPr>
                  <m:e>
                    <m:r>
                      <m:rPr>
                        <m:sty m:val="p"/>
                      </m:rPr>
                      <w:rPr>
                        <w:rFonts w:ascii="Cambria Math" w:hAnsi="Cambria Math"/>
                      </w:rPr>
                      <m:t>2</m:t>
                    </m:r>
                    <m:r>
                      <w:rPr>
                        <w:rFonts w:ascii="Cambria Math" w:hAnsi="Cambria Math"/>
                        <w:lang w:val="en-US"/>
                      </w:rPr>
                      <m:t>H</m:t>
                    </m:r>
                  </m:e>
                  <m:sub>
                    <m:r>
                      <m:rPr>
                        <m:sty m:val="p"/>
                      </m:rPr>
                      <w:rPr>
                        <w:rFonts w:ascii="Cambria Math" w:hAnsi="Cambria Math"/>
                      </w:rPr>
                      <m:t>2</m:t>
                    </m:r>
                  </m:sub>
                </m:sSub>
                <m:r>
                  <m:rPr>
                    <m:sty m:val="p"/>
                  </m:rPr>
                  <w:rPr>
                    <w:rFonts w:ascii="Cambria Math" w:hAnsi="Cambria Math"/>
                  </w:rPr>
                  <m:t xml:space="preserve">+2 </m:t>
                </m:r>
                <m:r>
                  <w:rPr>
                    <w:rFonts w:ascii="Cambria Math" w:hAnsi="Cambria Math"/>
                    <w:lang w:val="en-US"/>
                  </w:rPr>
                  <m:t>ATP</m:t>
                </m:r>
              </m:oMath>
            </m:oMathPara>
          </w:p>
        </w:tc>
        <w:tc>
          <w:tcPr>
            <w:tcW w:w="1255" w:type="dxa"/>
          </w:tcPr>
          <w:p w14:paraId="66EBA75E"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w:r w:rsidRPr="000C7A0A">
              <w:t>+43.9</w:t>
            </w:r>
          </w:p>
        </w:tc>
      </w:tr>
      <w:tr w:rsidR="00DA6DE4" w:rsidRPr="00DA6DE4" w14:paraId="42656E8C" w14:textId="77777777" w:rsidTr="000C7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579E185F" w14:textId="77777777" w:rsidR="00DA6DE4" w:rsidRPr="000C7A0A" w:rsidRDefault="00DA6DE4" w:rsidP="00DA6DE4">
            <w:pPr>
              <w:pStyle w:val="FigureTitle"/>
              <w:spacing w:before="0" w:after="0" w:line="240" w:lineRule="auto"/>
            </w:pPr>
            <w:r w:rsidRPr="000C7A0A">
              <w:t>15</w:t>
            </w:r>
          </w:p>
        </w:tc>
        <w:tc>
          <w:tcPr>
            <w:tcW w:w="7384" w:type="dxa"/>
          </w:tcPr>
          <w:p w14:paraId="6719DCBC"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m:oMathPara>
              <m:oMathParaPr>
                <m:jc m:val="left"/>
              </m:oMathParaPr>
              <m:oMath>
                <m:r>
                  <w:rPr>
                    <w:rFonts w:ascii="Cambria Math" w:hAnsi="Cambria Math"/>
                    <w:lang w:val="en-US"/>
                  </w:rPr>
                  <m:t>Propionate</m:t>
                </m:r>
                <m:r>
                  <m:rPr>
                    <m:sty m:val="p"/>
                  </m:rPr>
                  <w:rPr>
                    <w:rFonts w:ascii="Cambria Math" w:hAnsi="Cambria Math"/>
                  </w:rPr>
                  <m:t>+</m:t>
                </m:r>
                <m:sSub>
                  <m:sSubPr>
                    <m:ctrlPr>
                      <w:rPr>
                        <w:rFonts w:ascii="Cambria Math" w:hAnsi="Cambria Math"/>
                        <w:lang w:val="en-US"/>
                      </w:rPr>
                    </m:ctrlPr>
                  </m:sSubPr>
                  <m:e>
                    <m:r>
                      <m:rPr>
                        <m:sty m:val="p"/>
                      </m:rPr>
                      <w:rPr>
                        <w:rFonts w:ascii="Cambria Math" w:hAnsi="Cambria Math"/>
                      </w:rPr>
                      <m:t>2</m:t>
                    </m:r>
                    <m:r>
                      <w:rPr>
                        <w:rFonts w:ascii="Cambria Math" w:hAnsi="Cambria Math"/>
                        <w:lang w:val="en-US"/>
                      </w:rPr>
                      <m:t>H</m:t>
                    </m:r>
                  </m:e>
                  <m:sub>
                    <m:r>
                      <m:rPr>
                        <m:sty m:val="p"/>
                      </m:rPr>
                      <w:rPr>
                        <w:rFonts w:ascii="Cambria Math" w:hAnsi="Cambria Math"/>
                      </w:rPr>
                      <m:t>2</m:t>
                    </m:r>
                  </m:sub>
                </m:sSub>
                <m:r>
                  <w:rPr>
                    <w:rFonts w:ascii="Cambria Math" w:hAnsi="Cambria Math"/>
                    <w:lang w:val="en-US"/>
                  </w:rPr>
                  <m:t>O</m:t>
                </m:r>
                <m:r>
                  <m:rPr>
                    <m:sty m:val="p"/>
                  </m:rPr>
                  <w:rPr>
                    <w:rFonts w:ascii="Cambria Math" w:hAnsi="Cambria Math"/>
                  </w:rPr>
                  <m:t xml:space="preserve"> → </m:t>
                </m:r>
                <m:r>
                  <w:rPr>
                    <w:rFonts w:ascii="Cambria Math" w:hAnsi="Cambria Math"/>
                    <w:lang w:val="en-US"/>
                  </w:rPr>
                  <m:t>Acetate</m:t>
                </m:r>
                <m:r>
                  <m:rPr>
                    <m:sty m:val="p"/>
                  </m:rPr>
                  <w:rPr>
                    <w:rFonts w:ascii="Cambria Math" w:hAnsi="Cambria Math"/>
                  </w:rPr>
                  <m:t>+</m:t>
                </m:r>
                <m:sSub>
                  <m:sSubPr>
                    <m:ctrlPr>
                      <w:rPr>
                        <w:rFonts w:ascii="Cambria Math" w:hAnsi="Cambria Math"/>
                        <w:lang w:val="en-US"/>
                      </w:rPr>
                    </m:ctrlPr>
                  </m:sSubPr>
                  <m:e>
                    <m:r>
                      <m:rPr>
                        <m:sty m:val="p"/>
                      </m:rPr>
                      <w:rPr>
                        <w:rFonts w:ascii="Cambria Math" w:hAnsi="Cambria Math"/>
                      </w:rPr>
                      <m:t>3</m:t>
                    </m:r>
                    <m:r>
                      <w:rPr>
                        <w:rFonts w:ascii="Cambria Math" w:hAnsi="Cambria Math"/>
                        <w:lang w:val="en-US"/>
                      </w:rPr>
                      <m:t>H</m:t>
                    </m:r>
                  </m:e>
                  <m:sub>
                    <m:r>
                      <m:rPr>
                        <m:sty m:val="p"/>
                      </m:rPr>
                      <w:rPr>
                        <w:rFonts w:ascii="Cambria Math" w:hAnsi="Cambria Math"/>
                      </w:rPr>
                      <m:t>2</m:t>
                    </m:r>
                  </m:sub>
                </m:sSub>
                <m:r>
                  <m:rPr>
                    <m:sty m:val="p"/>
                  </m:rPr>
                  <w:rPr>
                    <w:rFonts w:ascii="Cambria Math" w:hAnsi="Cambria Math"/>
                  </w:rPr>
                  <m:t>+</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 xml:space="preserve">+1 </m:t>
                </m:r>
                <m:r>
                  <w:rPr>
                    <w:rFonts w:ascii="Cambria Math" w:hAnsi="Cambria Math"/>
                    <w:lang w:val="en-US"/>
                  </w:rPr>
                  <m:t>ATP</m:t>
                </m:r>
              </m:oMath>
            </m:oMathPara>
          </w:p>
        </w:tc>
        <w:tc>
          <w:tcPr>
            <w:tcW w:w="1255" w:type="dxa"/>
          </w:tcPr>
          <w:p w14:paraId="66360B89" w14:textId="77777777" w:rsidR="00DA6DE4" w:rsidRPr="000C7A0A"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pPr>
            <w:r w:rsidRPr="000C7A0A">
              <w:t>+71.7</w:t>
            </w:r>
          </w:p>
        </w:tc>
      </w:tr>
      <w:tr w:rsidR="00DA6DE4" w:rsidRPr="00DA6DE4" w14:paraId="71536CB0" w14:textId="77777777" w:rsidTr="000C7A0A">
        <w:tc>
          <w:tcPr>
            <w:cnfStyle w:val="001000000000" w:firstRow="0" w:lastRow="0" w:firstColumn="1" w:lastColumn="0" w:oddVBand="0" w:evenVBand="0" w:oddHBand="0" w:evenHBand="0" w:firstRowFirstColumn="0" w:firstRowLastColumn="0" w:lastRowFirstColumn="0" w:lastRowLastColumn="0"/>
            <w:tcW w:w="570" w:type="dxa"/>
          </w:tcPr>
          <w:p w14:paraId="484EBA4A" w14:textId="77777777" w:rsidR="00DA6DE4" w:rsidRPr="000C7A0A" w:rsidRDefault="00DA6DE4" w:rsidP="00DA6DE4">
            <w:pPr>
              <w:pStyle w:val="FigureTitle"/>
              <w:spacing w:before="0" w:after="0" w:line="240" w:lineRule="auto"/>
            </w:pPr>
            <w:r w:rsidRPr="000C7A0A">
              <w:t>16</w:t>
            </w:r>
          </w:p>
        </w:tc>
        <w:tc>
          <w:tcPr>
            <w:tcW w:w="7384" w:type="dxa"/>
          </w:tcPr>
          <w:p w14:paraId="0F4D8306"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m:oMathPara>
              <m:oMathParaPr>
                <m:jc m:val="left"/>
              </m:oMathParaPr>
              <m:oMath>
                <m:r>
                  <m:rPr>
                    <m:sty m:val="p"/>
                  </m:rPr>
                  <w:rPr>
                    <w:rFonts w:ascii="Cambria Math" w:hAnsi="Cambria Math"/>
                  </w:rPr>
                  <m:t>4</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m:rPr>
                    <m:sty m:val="p"/>
                  </m:rPr>
                  <w:rPr>
                    <w:rFonts w:ascii="Cambria Math" w:hAnsi="Cambria Math"/>
                  </w:rPr>
                  <m:t>+2</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rPr>
                      <m:t>2</m:t>
                    </m:r>
                  </m:sub>
                </m:sSub>
                <m:r>
                  <m:rPr>
                    <m:sty m:val="p"/>
                  </m:rPr>
                  <w:rPr>
                    <w:rFonts w:ascii="Cambria Math" w:hAnsi="Cambria Math"/>
                  </w:rPr>
                  <m:t>→</m:t>
                </m:r>
                <m:r>
                  <w:rPr>
                    <w:rFonts w:ascii="Cambria Math" w:hAnsi="Cambria Math"/>
                    <w:lang w:val="en-US"/>
                  </w:rPr>
                  <m:t>Acetate</m:t>
                </m:r>
                <m:r>
                  <m:rPr>
                    <m:sty m:val="p"/>
                  </m:rPr>
                  <w:rPr>
                    <w:rFonts w:ascii="Cambria Math" w:hAnsi="Cambria Math"/>
                  </w:rPr>
                  <m:t>+</m:t>
                </m:r>
                <m:sSup>
                  <m:sSupPr>
                    <m:ctrlPr>
                      <w:rPr>
                        <w:rFonts w:ascii="Cambria Math" w:hAnsi="Cambria Math"/>
                        <w:lang w:val="en-US"/>
                      </w:rPr>
                    </m:ctrlPr>
                  </m:sSupPr>
                  <m:e>
                    <m:r>
                      <w:rPr>
                        <w:rFonts w:ascii="Cambria Math" w:hAnsi="Cambria Math"/>
                        <w:lang w:val="en-US"/>
                      </w:rPr>
                      <m:t>H</m:t>
                    </m:r>
                  </m:e>
                  <m:sup>
                    <m:r>
                      <m:rPr>
                        <m:sty m:val="p"/>
                      </m:rPr>
                      <w:rPr>
                        <w:rFonts w:ascii="Cambria Math" w:hAnsi="Cambria Math"/>
                      </w:rPr>
                      <m:t>+</m:t>
                    </m:r>
                  </m:sup>
                </m:sSup>
                <m:r>
                  <m:rPr>
                    <m:sty m:val="p"/>
                  </m:rPr>
                  <w:rPr>
                    <w:rFonts w:ascii="Cambria Math" w:hAnsi="Cambria Math"/>
                  </w:rPr>
                  <m:t>+</m:t>
                </m:r>
                <m:sSub>
                  <m:sSubPr>
                    <m:ctrlPr>
                      <w:rPr>
                        <w:rFonts w:ascii="Cambria Math" w:hAnsi="Cambria Math"/>
                        <w:lang w:val="en-US"/>
                      </w:rPr>
                    </m:ctrlPr>
                  </m:sSubPr>
                  <m:e>
                    <m:r>
                      <m:rPr>
                        <m:sty m:val="p"/>
                      </m:rPr>
                      <w:rPr>
                        <w:rFonts w:ascii="Cambria Math" w:hAnsi="Cambria Math"/>
                      </w:rPr>
                      <m:t>2</m:t>
                    </m:r>
                    <m:r>
                      <w:rPr>
                        <w:rFonts w:ascii="Cambria Math" w:hAnsi="Cambria Math"/>
                        <w:lang w:val="en-US"/>
                      </w:rPr>
                      <m:t>H</m:t>
                    </m:r>
                  </m:e>
                  <m:sub>
                    <m:r>
                      <m:rPr>
                        <m:sty m:val="p"/>
                      </m:rPr>
                      <w:rPr>
                        <w:rFonts w:ascii="Cambria Math" w:hAnsi="Cambria Math"/>
                      </w:rPr>
                      <m:t>2</m:t>
                    </m:r>
                  </m:sub>
                </m:sSub>
                <m:r>
                  <w:rPr>
                    <w:rFonts w:ascii="Cambria Math" w:hAnsi="Cambria Math"/>
                    <w:lang w:val="en-US"/>
                  </w:rPr>
                  <m:t>O</m:t>
                </m:r>
                <m:r>
                  <m:rPr>
                    <m:sty m:val="p"/>
                  </m:rPr>
                  <w:rPr>
                    <w:rFonts w:ascii="Cambria Math" w:hAnsi="Cambria Math"/>
                  </w:rPr>
                  <m:t xml:space="preserve">+1 </m:t>
                </m:r>
                <m:r>
                  <w:rPr>
                    <w:rFonts w:ascii="Cambria Math" w:hAnsi="Cambria Math"/>
                    <w:lang w:val="en-US"/>
                  </w:rPr>
                  <m:t>ATP</m:t>
                </m:r>
              </m:oMath>
            </m:oMathPara>
          </w:p>
        </w:tc>
        <w:tc>
          <w:tcPr>
            <w:tcW w:w="1255" w:type="dxa"/>
          </w:tcPr>
          <w:p w14:paraId="2BA8445D" w14:textId="77777777" w:rsidR="00DA6DE4" w:rsidRPr="000C7A0A"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pPr>
            <w:r w:rsidRPr="000C7A0A">
              <w:t>-55.0</w:t>
            </w:r>
          </w:p>
        </w:tc>
      </w:tr>
      <w:tr w:rsidR="00DA6DE4" w:rsidRPr="00DA6DE4" w14:paraId="670B1D14" w14:textId="77777777" w:rsidTr="000C7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287D9207" w14:textId="77777777" w:rsidR="00DA6DE4" w:rsidRPr="000C7A0A" w:rsidRDefault="00DA6DE4" w:rsidP="00DA6DE4">
            <w:pPr>
              <w:pStyle w:val="FigureTitle"/>
              <w:spacing w:before="0" w:after="0" w:line="240" w:lineRule="auto"/>
            </w:pPr>
            <w:r w:rsidRPr="000C7A0A">
              <w:t>17</w:t>
            </w:r>
          </w:p>
        </w:tc>
        <w:tc>
          <w:tcPr>
            <w:tcW w:w="7384" w:type="dxa"/>
          </w:tcPr>
          <w:p w14:paraId="7457D435" w14:textId="77777777" w:rsidR="00DA6DE4" w:rsidRPr="00DA6DE4"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rPr>
                <w:lang w:val="en-US"/>
              </w:rPr>
            </w:pPr>
            <m:oMathPara>
              <m:oMathParaPr>
                <m:jc m:val="left"/>
              </m:oMathParaPr>
              <m:oMath>
                <m:r>
                  <m:rPr>
                    <m:sty m:val="p"/>
                  </m:rPr>
                  <w:rPr>
                    <w:rFonts w:ascii="Cambria Math" w:hAnsi="Cambria Math"/>
                  </w:rPr>
                  <m:t>4</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rPr>
                      <m:t>2</m:t>
                    </m:r>
                  </m:sub>
                </m:sSub>
                <m:r>
                  <m:rPr>
                    <m:sty m:val="p"/>
                  </m:rPr>
                  <w:rPr>
                    <w:rFonts w:ascii="Cambria Math" w:hAnsi="Cambria Math"/>
                  </w:rPr>
                  <m:t>+</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lang w:val="en-US"/>
                      </w:rPr>
                      <m:t>2</m:t>
                    </m:r>
                  </m:sub>
                </m:sSub>
                <m:r>
                  <m:rPr>
                    <m:sty m:val="p"/>
                  </m:rPr>
                  <w:rPr>
                    <w:rFonts w:ascii="Cambria Math" w:hAnsi="Cambria Math"/>
                    <w:lang w:val="en-US"/>
                  </w:rPr>
                  <m:t>→</m:t>
                </m:r>
                <m:r>
                  <w:rPr>
                    <w:rFonts w:ascii="Cambria Math" w:hAnsi="Cambria Math"/>
                    <w:lang w:val="en-US"/>
                  </w:rPr>
                  <m:t>C</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lang w:val="en-US"/>
                      </w:rPr>
                      <m:t>4</m:t>
                    </m:r>
                  </m:sub>
                </m:sSub>
                <m:r>
                  <m:rPr>
                    <m:sty m:val="p"/>
                  </m:rPr>
                  <w:rPr>
                    <w:rFonts w:ascii="Cambria Math" w:hAnsi="Cambria Math"/>
                    <w:lang w:val="en-US"/>
                  </w:rPr>
                  <m:t>+</m:t>
                </m:r>
                <m:sSub>
                  <m:sSubPr>
                    <m:ctrlPr>
                      <w:rPr>
                        <w:rFonts w:ascii="Cambria Math" w:hAnsi="Cambria Math"/>
                        <w:lang w:val="en-US"/>
                      </w:rPr>
                    </m:ctrlPr>
                  </m:sSubPr>
                  <m:e>
                    <m:r>
                      <m:rPr>
                        <m:sty m:val="p"/>
                      </m:rPr>
                      <w:rPr>
                        <w:rFonts w:ascii="Cambria Math" w:hAnsi="Cambria Math"/>
                        <w:lang w:val="en-US"/>
                      </w:rPr>
                      <m:t>2</m:t>
                    </m:r>
                    <m:r>
                      <w:rPr>
                        <w:rFonts w:ascii="Cambria Math" w:hAnsi="Cambria Math"/>
                        <w:lang w:val="en-US"/>
                      </w:rPr>
                      <m:t>H</m:t>
                    </m:r>
                  </m:e>
                  <m:sub>
                    <m:r>
                      <m:rPr>
                        <m:sty m:val="p"/>
                      </m:rPr>
                      <w:rPr>
                        <w:rFonts w:ascii="Cambria Math" w:hAnsi="Cambria Math"/>
                        <w:lang w:val="en-US"/>
                      </w:rPr>
                      <m:t>2</m:t>
                    </m:r>
                  </m:sub>
                </m:sSub>
                <m:r>
                  <w:rPr>
                    <w:rFonts w:ascii="Cambria Math" w:hAnsi="Cambria Math"/>
                    <w:lang w:val="en-US"/>
                  </w:rPr>
                  <m:t>O</m:t>
                </m:r>
              </m:oMath>
            </m:oMathPara>
          </w:p>
        </w:tc>
        <w:tc>
          <w:tcPr>
            <w:tcW w:w="1255" w:type="dxa"/>
          </w:tcPr>
          <w:p w14:paraId="6874E1E6" w14:textId="77777777" w:rsidR="00DA6DE4" w:rsidRPr="00DA6DE4"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rPr>
                <w:lang w:val="en-US"/>
              </w:rPr>
            </w:pPr>
            <w:r w:rsidRPr="00DA6DE4">
              <w:rPr>
                <w:lang w:val="en-US"/>
              </w:rPr>
              <w:t>-130.7</w:t>
            </w:r>
          </w:p>
        </w:tc>
      </w:tr>
      <w:tr w:rsidR="00DA6DE4" w:rsidRPr="00DA6DE4" w14:paraId="3D6A967A" w14:textId="77777777" w:rsidTr="000C7A0A">
        <w:tc>
          <w:tcPr>
            <w:cnfStyle w:val="001000000000" w:firstRow="0" w:lastRow="0" w:firstColumn="1" w:lastColumn="0" w:oddVBand="0" w:evenVBand="0" w:oddHBand="0" w:evenHBand="0" w:firstRowFirstColumn="0" w:firstRowLastColumn="0" w:lastRowFirstColumn="0" w:lastRowLastColumn="0"/>
            <w:tcW w:w="570" w:type="dxa"/>
          </w:tcPr>
          <w:p w14:paraId="30677104" w14:textId="77777777" w:rsidR="00DA6DE4" w:rsidRPr="00DA6DE4" w:rsidRDefault="00DA6DE4" w:rsidP="00DA6DE4">
            <w:pPr>
              <w:pStyle w:val="FigureTitle"/>
              <w:spacing w:before="0" w:after="0" w:line="240" w:lineRule="auto"/>
              <w:rPr>
                <w:lang w:val="en-US"/>
              </w:rPr>
            </w:pPr>
            <w:r w:rsidRPr="00DA6DE4">
              <w:rPr>
                <w:lang w:val="en-US"/>
              </w:rPr>
              <w:t>18</w:t>
            </w:r>
          </w:p>
        </w:tc>
        <w:tc>
          <w:tcPr>
            <w:tcW w:w="7384" w:type="dxa"/>
          </w:tcPr>
          <w:p w14:paraId="0B677DC0" w14:textId="77777777" w:rsidR="00DA6DE4" w:rsidRPr="00DA6DE4"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rPr>
                <w:lang w:val="en-US"/>
              </w:rPr>
            </w:pPr>
            <m:oMathPara>
              <m:oMathParaPr>
                <m:jc m:val="left"/>
              </m:oMathParaPr>
              <m:oMath>
                <m:r>
                  <w:rPr>
                    <w:rFonts w:ascii="Cambria Math" w:hAnsi="Cambria Math"/>
                    <w:lang w:val="en-US"/>
                  </w:rPr>
                  <m:t>Acetate</m:t>
                </m:r>
                <m:r>
                  <m:rPr>
                    <m:sty m:val="p"/>
                  </m:rPr>
                  <w:rPr>
                    <w:rFonts w:ascii="Cambria Math" w:hAnsi="Cambria Math"/>
                    <w:lang w:val="en-US"/>
                  </w:rPr>
                  <m:t>+</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lang w:val="en-US"/>
                      </w:rPr>
                      <m:t>2</m:t>
                    </m:r>
                  </m:sub>
                </m:sSub>
                <m:r>
                  <w:rPr>
                    <w:rFonts w:ascii="Cambria Math" w:hAnsi="Cambria Math"/>
                    <w:lang w:val="en-US"/>
                  </w:rPr>
                  <m:t>O</m:t>
                </m:r>
                <m:r>
                  <m:rPr>
                    <m:sty m:val="p"/>
                  </m:rPr>
                  <w:rPr>
                    <w:rFonts w:ascii="Cambria Math" w:hAnsi="Cambria Math"/>
                    <w:lang w:val="en-US"/>
                  </w:rPr>
                  <m:t>→</m:t>
                </m:r>
                <m:r>
                  <w:rPr>
                    <w:rFonts w:ascii="Cambria Math" w:hAnsi="Cambria Math"/>
                    <w:lang w:val="en-US"/>
                  </w:rPr>
                  <m:t>C</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lang w:val="en-US"/>
                      </w:rPr>
                      <m:t>4</m:t>
                    </m:r>
                  </m:sub>
                </m:sSub>
                <m:r>
                  <m:rPr>
                    <m:sty m:val="p"/>
                  </m:rPr>
                  <w:rPr>
                    <w:rFonts w:ascii="Cambria Math" w:hAnsi="Cambria Math"/>
                    <w:lang w:val="en-US"/>
                  </w:rPr>
                  <m:t>+</m:t>
                </m:r>
                <m:r>
                  <w:rPr>
                    <w:rFonts w:ascii="Cambria Math" w:hAnsi="Cambria Math"/>
                    <w:lang w:val="en-US"/>
                  </w:rPr>
                  <m:t>C</m:t>
                </m:r>
                <m:sSub>
                  <m:sSubPr>
                    <m:ctrlPr>
                      <w:rPr>
                        <w:rFonts w:ascii="Cambria Math" w:hAnsi="Cambria Math"/>
                        <w:lang w:val="en-US"/>
                      </w:rPr>
                    </m:ctrlPr>
                  </m:sSubPr>
                  <m:e>
                    <m:r>
                      <w:rPr>
                        <w:rFonts w:ascii="Cambria Math" w:hAnsi="Cambria Math"/>
                        <w:lang w:val="en-US"/>
                      </w:rPr>
                      <m:t>O</m:t>
                    </m:r>
                  </m:e>
                  <m:sub>
                    <m:r>
                      <m:rPr>
                        <m:sty m:val="p"/>
                      </m:rPr>
                      <w:rPr>
                        <w:rFonts w:ascii="Cambria Math" w:hAnsi="Cambria Math"/>
                        <w:lang w:val="en-US"/>
                      </w:rPr>
                      <m:t>2</m:t>
                    </m:r>
                  </m:sub>
                </m:sSub>
              </m:oMath>
            </m:oMathPara>
          </w:p>
        </w:tc>
        <w:tc>
          <w:tcPr>
            <w:tcW w:w="1255" w:type="dxa"/>
          </w:tcPr>
          <w:p w14:paraId="1C4FD351" w14:textId="77777777" w:rsidR="00DA6DE4" w:rsidRPr="00DA6DE4"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rPr>
                <w:lang w:val="en-US"/>
              </w:rPr>
            </w:pPr>
            <w:r w:rsidRPr="00DA6DE4">
              <w:rPr>
                <w:lang w:val="en-US"/>
              </w:rPr>
              <w:t>-31.1</w:t>
            </w:r>
          </w:p>
        </w:tc>
      </w:tr>
      <w:tr w:rsidR="00DA6DE4" w:rsidRPr="00DA6DE4" w14:paraId="7360FA51" w14:textId="77777777" w:rsidTr="000C7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3D1BAE2C" w14:textId="77777777" w:rsidR="00DA6DE4" w:rsidRPr="00DA6DE4" w:rsidRDefault="00DA6DE4" w:rsidP="00DA6DE4">
            <w:pPr>
              <w:pStyle w:val="FigureTitle"/>
              <w:spacing w:before="0" w:after="0" w:line="240" w:lineRule="auto"/>
              <w:rPr>
                <w:lang w:val="en-US"/>
              </w:rPr>
            </w:pPr>
            <w:r w:rsidRPr="00DA6DE4">
              <w:rPr>
                <w:lang w:val="en-US"/>
              </w:rPr>
              <w:t>19</w:t>
            </w:r>
          </w:p>
        </w:tc>
        <w:tc>
          <w:tcPr>
            <w:tcW w:w="7384" w:type="dxa"/>
          </w:tcPr>
          <w:p w14:paraId="69F59E61" w14:textId="77777777" w:rsidR="00DA6DE4" w:rsidRPr="00DA6DE4"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rPr>
                <w:lang w:val="en-US"/>
              </w:rPr>
            </w:pPr>
            <m:oMathPara>
              <m:oMathParaPr>
                <m:jc m:val="left"/>
              </m:oMathParaPr>
              <m:oMath>
                <m:r>
                  <m:rPr>
                    <m:sty m:val="p"/>
                  </m:rPr>
                  <w:rPr>
                    <w:rFonts w:ascii="Cambria Math" w:hAnsi="Cambria Math"/>
                    <w:lang w:val="en-US"/>
                  </w:rPr>
                  <m:t xml:space="preserve">2 </m:t>
                </m:r>
                <m:r>
                  <w:rPr>
                    <w:rFonts w:ascii="Cambria Math" w:hAnsi="Cambria Math"/>
                    <w:lang w:val="en-US"/>
                  </w:rPr>
                  <m:t>Acetyl</m:t>
                </m:r>
                <m:r>
                  <m:rPr>
                    <m:sty m:val="p"/>
                  </m:rPr>
                  <w:rPr>
                    <w:rFonts w:ascii="Cambria Math" w:hAnsi="Cambria Math"/>
                    <w:lang w:val="en-US"/>
                  </w:rPr>
                  <m:t>-</m:t>
                </m:r>
                <m:r>
                  <w:rPr>
                    <w:rFonts w:ascii="Cambria Math" w:hAnsi="Cambria Math"/>
                    <w:lang w:val="en-US"/>
                  </w:rPr>
                  <m:t>CoA</m:t>
                </m:r>
                <m:r>
                  <m:rPr>
                    <m:sty m:val="p"/>
                  </m:rPr>
                  <w:rPr>
                    <w:rFonts w:ascii="Cambria Math" w:hAnsi="Cambria Math"/>
                    <w:lang w:val="en-US"/>
                  </w:rPr>
                  <m:t xml:space="preserve">+2 </m:t>
                </m:r>
                <m:r>
                  <w:rPr>
                    <w:rFonts w:ascii="Cambria Math" w:hAnsi="Cambria Math"/>
                    <w:lang w:val="en-US"/>
                  </w:rPr>
                  <m:t>NAD</m:t>
                </m:r>
                <m:d>
                  <m:dPr>
                    <m:ctrlPr>
                      <w:rPr>
                        <w:rFonts w:ascii="Cambria Math" w:hAnsi="Cambria Math"/>
                        <w:lang w:val="en-US"/>
                      </w:rPr>
                    </m:ctrlPr>
                  </m:dPr>
                  <m:e>
                    <m:r>
                      <w:rPr>
                        <w:rFonts w:ascii="Cambria Math" w:hAnsi="Cambria Math"/>
                        <w:lang w:val="en-US"/>
                      </w:rPr>
                      <m:t>P</m:t>
                    </m:r>
                  </m:e>
                </m:d>
                <m:r>
                  <w:rPr>
                    <w:rFonts w:ascii="Cambria Math" w:hAnsi="Cambria Math"/>
                    <w:lang w:val="en-US"/>
                  </w:rPr>
                  <m:t>H</m:t>
                </m:r>
                <m:r>
                  <m:rPr>
                    <m:sty m:val="p"/>
                  </m:rPr>
                  <w:rPr>
                    <w:rFonts w:ascii="Cambria Math" w:hAnsi="Cambria Math"/>
                    <w:lang w:val="en-US"/>
                  </w:rPr>
                  <m:t xml:space="preserve"> →</m:t>
                </m:r>
                <m:r>
                  <w:rPr>
                    <w:rFonts w:ascii="Cambria Math" w:hAnsi="Cambria Math"/>
                    <w:lang w:val="en-US"/>
                  </w:rPr>
                  <m:t>Butyrate</m:t>
                </m:r>
                <m:r>
                  <m:rPr>
                    <m:sty m:val="p"/>
                  </m:rPr>
                  <w:rPr>
                    <w:rFonts w:ascii="Cambria Math" w:hAnsi="Cambria Math"/>
                    <w:lang w:val="en-US"/>
                  </w:rPr>
                  <m:t>+</m:t>
                </m:r>
                <m:r>
                  <w:rPr>
                    <w:rFonts w:ascii="Cambria Math" w:hAnsi="Cambria Math"/>
                    <w:lang w:val="en-US"/>
                  </w:rPr>
                  <m:t>ATP</m:t>
                </m:r>
                <m:r>
                  <m:rPr>
                    <m:sty m:val="p"/>
                  </m:rPr>
                  <w:rPr>
                    <w:rFonts w:ascii="Cambria Math" w:hAnsi="Cambria Math"/>
                    <w:lang w:val="en-US"/>
                  </w:rPr>
                  <m:t xml:space="preserve">+2 </m:t>
                </m:r>
                <m:r>
                  <w:rPr>
                    <w:rFonts w:ascii="Cambria Math" w:hAnsi="Cambria Math"/>
                    <w:lang w:val="en-US"/>
                  </w:rPr>
                  <m:t>NAD</m:t>
                </m:r>
                <m:sSup>
                  <m:sSupPr>
                    <m:ctrlPr>
                      <w:rPr>
                        <w:rFonts w:ascii="Cambria Math" w:hAnsi="Cambria Math"/>
                        <w:lang w:val="en-US"/>
                      </w:rPr>
                    </m:ctrlPr>
                  </m:sSupPr>
                  <m:e>
                    <m:d>
                      <m:dPr>
                        <m:ctrlPr>
                          <w:rPr>
                            <w:rFonts w:ascii="Cambria Math" w:hAnsi="Cambria Math"/>
                            <w:lang w:val="en-US"/>
                          </w:rPr>
                        </m:ctrlPr>
                      </m:dPr>
                      <m:e>
                        <m:r>
                          <w:rPr>
                            <w:rFonts w:ascii="Cambria Math" w:hAnsi="Cambria Math"/>
                            <w:lang w:val="en-US"/>
                          </w:rPr>
                          <m:t>P</m:t>
                        </m:r>
                      </m:e>
                    </m:d>
                  </m:e>
                  <m:sup>
                    <m:r>
                      <m:rPr>
                        <m:sty m:val="p"/>
                      </m:rPr>
                      <w:rPr>
                        <w:rFonts w:ascii="Cambria Math" w:hAnsi="Cambria Math"/>
                        <w:lang w:val="en-US"/>
                      </w:rPr>
                      <m:t>+</m:t>
                    </m:r>
                  </m:sup>
                </m:sSup>
                <m:r>
                  <m:rPr>
                    <m:sty m:val="p"/>
                  </m:rPr>
                  <w:rPr>
                    <w:rFonts w:ascii="Cambria Math" w:hAnsi="Cambria Math"/>
                    <w:lang w:val="en-US"/>
                  </w:rPr>
                  <m:t xml:space="preserve">+2 </m:t>
                </m:r>
                <m:r>
                  <w:rPr>
                    <w:rFonts w:ascii="Cambria Math" w:hAnsi="Cambria Math"/>
                    <w:lang w:val="en-US"/>
                  </w:rPr>
                  <m:t>HS</m:t>
                </m:r>
                <m:r>
                  <m:rPr>
                    <m:sty m:val="p"/>
                  </m:rPr>
                  <w:rPr>
                    <w:rFonts w:ascii="Cambria Math" w:hAnsi="Cambria Math"/>
                    <w:lang w:val="en-US"/>
                  </w:rPr>
                  <m:t>-</m:t>
                </m:r>
                <m:r>
                  <w:rPr>
                    <w:rFonts w:ascii="Cambria Math" w:hAnsi="Cambria Math"/>
                    <w:lang w:val="en-US"/>
                  </w:rPr>
                  <m:t>CoA</m:t>
                </m:r>
              </m:oMath>
            </m:oMathPara>
          </w:p>
        </w:tc>
        <w:tc>
          <w:tcPr>
            <w:tcW w:w="1255" w:type="dxa"/>
          </w:tcPr>
          <w:p w14:paraId="0EC9EB9F" w14:textId="77777777" w:rsidR="00DA6DE4" w:rsidRPr="00DA6DE4" w:rsidRDefault="00DA6DE4" w:rsidP="00DA6DE4">
            <w:pPr>
              <w:pStyle w:val="FigureTitle"/>
              <w:spacing w:before="0" w:after="0" w:line="240" w:lineRule="auto"/>
              <w:cnfStyle w:val="000000100000" w:firstRow="0" w:lastRow="0" w:firstColumn="0" w:lastColumn="0" w:oddVBand="0" w:evenVBand="0" w:oddHBand="1" w:evenHBand="0" w:firstRowFirstColumn="0" w:firstRowLastColumn="0" w:lastRowFirstColumn="0" w:lastRowLastColumn="0"/>
              <w:rPr>
                <w:lang w:val="en-US"/>
              </w:rPr>
            </w:pPr>
            <w:r w:rsidRPr="00DA6DE4">
              <w:rPr>
                <w:lang w:val="en-US"/>
              </w:rPr>
              <w:t>-46.4*</w:t>
            </w:r>
          </w:p>
        </w:tc>
      </w:tr>
      <w:tr w:rsidR="00DA6DE4" w:rsidRPr="00DA6DE4" w14:paraId="3A211C2C" w14:textId="77777777" w:rsidTr="000C7A0A">
        <w:tc>
          <w:tcPr>
            <w:cnfStyle w:val="001000000000" w:firstRow="0" w:lastRow="0" w:firstColumn="1" w:lastColumn="0" w:oddVBand="0" w:evenVBand="0" w:oddHBand="0" w:evenHBand="0" w:firstRowFirstColumn="0" w:firstRowLastColumn="0" w:lastRowFirstColumn="0" w:lastRowLastColumn="0"/>
            <w:tcW w:w="570" w:type="dxa"/>
          </w:tcPr>
          <w:p w14:paraId="6A6FE12C" w14:textId="77777777" w:rsidR="00DA6DE4" w:rsidRPr="00DA6DE4" w:rsidRDefault="00DA6DE4" w:rsidP="00DA6DE4">
            <w:pPr>
              <w:pStyle w:val="FigureTitle"/>
              <w:spacing w:before="0" w:after="0" w:line="240" w:lineRule="auto"/>
              <w:rPr>
                <w:lang w:val="en-US"/>
              </w:rPr>
            </w:pPr>
            <w:r w:rsidRPr="00DA6DE4">
              <w:rPr>
                <w:lang w:val="en-US"/>
              </w:rPr>
              <w:t>20</w:t>
            </w:r>
          </w:p>
        </w:tc>
        <w:tc>
          <w:tcPr>
            <w:tcW w:w="7384" w:type="dxa"/>
          </w:tcPr>
          <w:p w14:paraId="611E369D" w14:textId="77777777" w:rsidR="00DA6DE4" w:rsidRPr="00DA6DE4"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rPr>
                <w:lang w:val="en-US"/>
              </w:rPr>
            </w:pPr>
            <m:oMathPara>
              <m:oMathParaPr>
                <m:jc m:val="left"/>
              </m:oMathParaPr>
              <m:oMath>
                <m:r>
                  <w:rPr>
                    <w:rFonts w:ascii="Cambria Math" w:hAnsi="Cambria Math"/>
                    <w:lang w:val="en-US"/>
                  </w:rPr>
                  <m:t>Acetyl</m:t>
                </m:r>
                <m:r>
                  <m:rPr>
                    <m:sty m:val="p"/>
                  </m:rPr>
                  <w:rPr>
                    <w:rFonts w:ascii="Cambria Math" w:hAnsi="Cambria Math"/>
                    <w:lang w:val="en-US"/>
                  </w:rPr>
                  <m:t>-</m:t>
                </m:r>
                <m:r>
                  <w:rPr>
                    <w:rFonts w:ascii="Cambria Math" w:hAnsi="Cambria Math"/>
                    <w:lang w:val="en-US"/>
                  </w:rPr>
                  <m:t>CoA</m:t>
                </m:r>
                <m:r>
                  <m:rPr>
                    <m:sty m:val="p"/>
                  </m:rPr>
                  <w:rPr>
                    <w:rFonts w:ascii="Cambria Math" w:hAnsi="Cambria Math"/>
                    <w:lang w:val="en-US"/>
                  </w:rPr>
                  <m:t>+</m:t>
                </m:r>
                <m:sSub>
                  <m:sSubPr>
                    <m:ctrlPr>
                      <w:rPr>
                        <w:rFonts w:ascii="Cambria Math" w:hAnsi="Cambria Math"/>
                        <w:lang w:val="en-US"/>
                      </w:rPr>
                    </m:ctrlPr>
                  </m:sSubPr>
                  <m:e>
                    <m:r>
                      <w:rPr>
                        <w:rFonts w:ascii="Cambria Math" w:hAnsi="Cambria Math"/>
                        <w:lang w:val="en-US"/>
                      </w:rPr>
                      <m:t>H</m:t>
                    </m:r>
                  </m:e>
                  <m:sub>
                    <m:r>
                      <m:rPr>
                        <m:sty m:val="p"/>
                      </m:rPr>
                      <w:rPr>
                        <w:rFonts w:ascii="Cambria Math" w:hAnsi="Cambria Math"/>
                        <w:lang w:val="en-US"/>
                      </w:rPr>
                      <m:t>2</m:t>
                    </m:r>
                  </m:sub>
                </m:sSub>
                <m:r>
                  <w:rPr>
                    <w:rFonts w:ascii="Cambria Math" w:hAnsi="Cambria Math"/>
                    <w:lang w:val="en-US"/>
                  </w:rPr>
                  <m:t>O</m:t>
                </m:r>
                <m:r>
                  <m:rPr>
                    <m:sty m:val="p"/>
                  </m:rPr>
                  <w:rPr>
                    <w:rFonts w:ascii="Cambria Math" w:hAnsi="Cambria Math"/>
                    <w:lang w:val="en-US"/>
                  </w:rPr>
                  <m:t xml:space="preserve"> →</m:t>
                </m:r>
                <m:r>
                  <w:rPr>
                    <w:rFonts w:ascii="Cambria Math" w:hAnsi="Cambria Math"/>
                    <w:lang w:val="en-US"/>
                  </w:rPr>
                  <m:t>Acetate</m:t>
                </m:r>
                <m:r>
                  <m:rPr>
                    <m:sty m:val="p"/>
                  </m:rPr>
                  <w:rPr>
                    <w:rFonts w:ascii="Cambria Math" w:hAnsi="Cambria Math"/>
                    <w:lang w:val="en-US"/>
                  </w:rPr>
                  <m:t>+</m:t>
                </m:r>
                <m:r>
                  <w:rPr>
                    <w:rFonts w:ascii="Cambria Math" w:hAnsi="Cambria Math"/>
                    <w:lang w:val="en-US"/>
                  </w:rPr>
                  <m:t>ATP</m:t>
                </m:r>
                <m:r>
                  <m:rPr>
                    <m:sty m:val="p"/>
                  </m:rPr>
                  <w:rPr>
                    <w:rFonts w:ascii="Cambria Math" w:hAnsi="Cambria Math"/>
                    <w:lang w:val="en-US"/>
                  </w:rPr>
                  <m:t xml:space="preserve">+ </m:t>
                </m:r>
                <m:r>
                  <w:rPr>
                    <w:rFonts w:ascii="Cambria Math" w:hAnsi="Cambria Math"/>
                    <w:lang w:val="en-US"/>
                  </w:rPr>
                  <m:t>HS</m:t>
                </m:r>
                <m:r>
                  <m:rPr>
                    <m:sty m:val="p"/>
                  </m:rPr>
                  <w:rPr>
                    <w:rFonts w:ascii="Cambria Math" w:hAnsi="Cambria Math"/>
                    <w:lang w:val="en-US"/>
                  </w:rPr>
                  <m:t>-</m:t>
                </m:r>
                <m:r>
                  <w:rPr>
                    <w:rFonts w:ascii="Cambria Math" w:hAnsi="Cambria Math"/>
                    <w:lang w:val="en-US"/>
                  </w:rPr>
                  <m:t>CoA</m:t>
                </m:r>
              </m:oMath>
            </m:oMathPara>
          </w:p>
        </w:tc>
        <w:tc>
          <w:tcPr>
            <w:tcW w:w="1255" w:type="dxa"/>
          </w:tcPr>
          <w:p w14:paraId="5F2218DF" w14:textId="77777777" w:rsidR="00DA6DE4" w:rsidRPr="00DA6DE4" w:rsidRDefault="00DA6DE4" w:rsidP="00DA6DE4">
            <w:pPr>
              <w:pStyle w:val="FigureTitle"/>
              <w:spacing w:before="0" w:after="0" w:line="240" w:lineRule="auto"/>
              <w:cnfStyle w:val="000000000000" w:firstRow="0" w:lastRow="0" w:firstColumn="0" w:lastColumn="0" w:oddVBand="0" w:evenVBand="0" w:oddHBand="0" w:evenHBand="0" w:firstRowFirstColumn="0" w:firstRowLastColumn="0" w:lastRowFirstColumn="0" w:lastRowLastColumn="0"/>
              <w:rPr>
                <w:lang w:val="en-US"/>
              </w:rPr>
            </w:pPr>
            <w:r w:rsidRPr="00DA6DE4">
              <w:rPr>
                <w:lang w:val="en-US"/>
              </w:rPr>
              <w:t>-52.1*</w:t>
            </w:r>
          </w:p>
        </w:tc>
      </w:tr>
    </w:tbl>
    <w:p w14:paraId="234292D0" w14:textId="77777777" w:rsidR="00DA6DE4" w:rsidRPr="00DA6DE4" w:rsidRDefault="00DA6DE4" w:rsidP="00DA6DE4">
      <w:pPr>
        <w:pStyle w:val="FigureTitle"/>
        <w:rPr>
          <w:lang w:val="en-US"/>
        </w:rPr>
      </w:pPr>
      <w:r w:rsidRPr="00DA6DE4">
        <w:rPr>
          <w:lang w:val="en-US"/>
        </w:rPr>
        <w:t>*Values expressed as kJ mol</w:t>
      </w:r>
      <w:r w:rsidRPr="00DA6DE4">
        <w:rPr>
          <w:vertAlign w:val="superscript"/>
          <w:lang w:val="en-US"/>
        </w:rPr>
        <w:t>-1</w:t>
      </w:r>
      <w:r w:rsidRPr="00DA6DE4">
        <w:rPr>
          <w:lang w:val="en-US"/>
        </w:rPr>
        <w:t xml:space="preserve"> acetyl-CoA</w:t>
      </w:r>
    </w:p>
    <w:p w14:paraId="40A5709D" w14:textId="77777777" w:rsidR="00EA3186" w:rsidRPr="00F3096C" w:rsidRDefault="00EA3186" w:rsidP="005F097F">
      <w:pPr>
        <w:keepNext/>
        <w:spacing w:after="200" w:line="480" w:lineRule="auto"/>
        <w:ind w:firstLineChars="180" w:firstLine="396"/>
        <w:jc w:val="center"/>
        <w:rPr>
          <w:rFonts w:eastAsia="PMingLiU" w:cs="Times New Roman"/>
          <w:szCs w:val="24"/>
        </w:rPr>
      </w:pPr>
      <w:r w:rsidRPr="00F3096C">
        <w:rPr>
          <w:rFonts w:eastAsia="PMingLiU" w:cs="Times New Roman"/>
          <w:noProof/>
          <w:szCs w:val="24"/>
          <w:lang w:eastAsia="en-GB"/>
        </w:rPr>
        <w:drawing>
          <wp:inline distT="0" distB="0" distL="0" distR="0" wp14:anchorId="20B52439" wp14:editId="603B74DF">
            <wp:extent cx="3308189" cy="274320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20131_ThermodynamicsAc.tif"/>
                    <pic:cNvPicPr/>
                  </pic:nvPicPr>
                  <pic:blipFill rotWithShape="1">
                    <a:blip r:embed="rId10" cstate="print">
                      <a:extLst>
                        <a:ext uri="{28A0092B-C50C-407E-A947-70E740481C1C}">
                          <a14:useLocalDpi xmlns:a14="http://schemas.microsoft.com/office/drawing/2010/main" val="0"/>
                        </a:ext>
                      </a:extLst>
                    </a:blip>
                    <a:srcRect l="4363" t="6511" r="9308"/>
                    <a:stretch/>
                  </pic:blipFill>
                  <pic:spPr bwMode="auto">
                    <a:xfrm>
                      <a:off x="0" y="0"/>
                      <a:ext cx="3318427" cy="2751690"/>
                    </a:xfrm>
                    <a:prstGeom prst="rect">
                      <a:avLst/>
                    </a:prstGeom>
                    <a:ln>
                      <a:noFill/>
                    </a:ln>
                    <a:extLst>
                      <a:ext uri="{53640926-AAD7-44D8-BBD7-CCE9431645EC}">
                        <a14:shadowObscured xmlns:a14="http://schemas.microsoft.com/office/drawing/2010/main"/>
                      </a:ext>
                    </a:extLst>
                  </pic:spPr>
                </pic:pic>
              </a:graphicData>
            </a:graphic>
          </wp:inline>
        </w:drawing>
      </w:r>
    </w:p>
    <w:p w14:paraId="25DE1AEB" w14:textId="79BE68B8" w:rsidR="00EA3186" w:rsidRPr="005F097F" w:rsidRDefault="00EA3186" w:rsidP="00DA6DE4">
      <w:pPr>
        <w:pStyle w:val="FigureTitle"/>
      </w:pPr>
      <w:bookmarkStart w:id="12" w:name="_Ref85647072"/>
      <w:bookmarkStart w:id="13" w:name="_Toc86681042"/>
      <w:bookmarkStart w:id="14" w:name="_Toc88687926"/>
      <w:r w:rsidRPr="000C7A0A">
        <w:rPr>
          <w:b/>
        </w:rPr>
        <w:t xml:space="preserve">Figure </w:t>
      </w:r>
      <w:r w:rsidR="00D77802">
        <w:rPr>
          <w:b/>
        </w:rPr>
        <w:t>S</w:t>
      </w:r>
      <w:r w:rsidR="00545C8C" w:rsidRPr="000C7A0A">
        <w:rPr>
          <w:b/>
        </w:rPr>
        <w:fldChar w:fldCharType="begin"/>
      </w:r>
      <w:r w:rsidR="00545C8C" w:rsidRPr="000C7A0A">
        <w:rPr>
          <w:b/>
        </w:rPr>
        <w:instrText xml:space="preserve"> SEQ Figure \* ARABIC </w:instrText>
      </w:r>
      <w:r w:rsidR="00545C8C" w:rsidRPr="000C7A0A">
        <w:rPr>
          <w:b/>
        </w:rPr>
        <w:fldChar w:fldCharType="separate"/>
      </w:r>
      <w:r w:rsidR="005F097F" w:rsidRPr="000C7A0A">
        <w:rPr>
          <w:b/>
          <w:noProof/>
        </w:rPr>
        <w:t>3</w:t>
      </w:r>
      <w:r w:rsidR="00545C8C" w:rsidRPr="000C7A0A">
        <w:rPr>
          <w:b/>
          <w:noProof/>
        </w:rPr>
        <w:fldChar w:fldCharType="end"/>
      </w:r>
      <w:bookmarkEnd w:id="12"/>
      <w:r w:rsidRPr="000C7A0A">
        <w:rPr>
          <w:b/>
        </w:rPr>
        <w:t>:</w:t>
      </w:r>
      <w:r w:rsidRPr="005F097F">
        <w:t xml:space="preserve"> Gibbs free energy for </w:t>
      </w:r>
      <w:proofErr w:type="spellStart"/>
      <w:r w:rsidRPr="005F097F">
        <w:t>aceticlastic</w:t>
      </w:r>
      <w:proofErr w:type="spellEnd"/>
      <w:r w:rsidRPr="005F097F">
        <w:t xml:space="preserve"> </w:t>
      </w:r>
      <w:proofErr w:type="spellStart"/>
      <w:r w:rsidRPr="005F097F">
        <w:t>methanogenesis</w:t>
      </w:r>
      <w:proofErr w:type="spellEnd"/>
      <w:r w:rsidRPr="005F097F">
        <w:t xml:space="preserve"> at circumneutral pH considering the effect of increased partial pressure of carbon dioxide (pCO2 in orange) and acetate concentrations (in green)</w:t>
      </w:r>
      <w:bookmarkEnd w:id="13"/>
      <w:bookmarkEnd w:id="14"/>
      <w:r w:rsidRPr="005F097F">
        <w:t xml:space="preserve"> at T=35°C, pH=7.5 and substrate and product concentrations of 1 </w:t>
      </w:r>
      <w:proofErr w:type="spellStart"/>
      <w:r w:rsidRPr="005F097F">
        <w:t>mM.</w:t>
      </w:r>
      <w:proofErr w:type="spellEnd"/>
      <w:r w:rsidRPr="005F097F">
        <w:t xml:space="preserve"> </w:t>
      </w:r>
    </w:p>
    <w:p w14:paraId="33A09A19" w14:textId="77777777" w:rsidR="008432CE" w:rsidRPr="000C7A0A" w:rsidRDefault="00DA6DE4" w:rsidP="00E5002F">
      <w:pPr>
        <w:spacing w:line="480" w:lineRule="auto"/>
        <w:rPr>
          <w:rFonts w:ascii="Times New Roman" w:hAnsi="Times New Roman" w:cs="Times New Roman"/>
          <w:b/>
          <w:sz w:val="24"/>
          <w:szCs w:val="24"/>
        </w:rPr>
      </w:pPr>
      <w:r w:rsidRPr="000C7A0A">
        <w:rPr>
          <w:rFonts w:ascii="Times New Roman" w:hAnsi="Times New Roman" w:cs="Times New Roman"/>
          <w:b/>
          <w:sz w:val="24"/>
          <w:szCs w:val="24"/>
        </w:rPr>
        <w:lastRenderedPageBreak/>
        <w:t>References</w:t>
      </w:r>
    </w:p>
    <w:p w14:paraId="40D8F950" w14:textId="29DB6E0F" w:rsidR="0058195D" w:rsidRPr="0058195D" w:rsidRDefault="001D7B0F" w:rsidP="0058195D">
      <w:pPr>
        <w:widowControl w:val="0"/>
        <w:autoSpaceDE w:val="0"/>
        <w:autoSpaceDN w:val="0"/>
        <w:adjustRightInd w:val="0"/>
        <w:spacing w:line="480" w:lineRule="auto"/>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58195D" w:rsidRPr="0058195D">
        <w:rPr>
          <w:rFonts w:ascii="Times New Roman" w:hAnsi="Times New Roman" w:cs="Times New Roman"/>
          <w:noProof/>
          <w:sz w:val="24"/>
          <w:szCs w:val="24"/>
        </w:rPr>
        <w:t xml:space="preserve">1. Magoc T, Salzberg SL, Magoč T, Salzberg SL. FLASH: fast length adjustment of short reads to improve genome assemblies. Bioinformatics. 2011;27:2957–63. </w:t>
      </w:r>
    </w:p>
    <w:p w14:paraId="5EE15AA9" w14:textId="77777777" w:rsidR="0058195D" w:rsidRPr="0058195D" w:rsidRDefault="0058195D" w:rsidP="0058195D">
      <w:pPr>
        <w:widowControl w:val="0"/>
        <w:autoSpaceDE w:val="0"/>
        <w:autoSpaceDN w:val="0"/>
        <w:adjustRightInd w:val="0"/>
        <w:spacing w:line="480" w:lineRule="auto"/>
        <w:rPr>
          <w:rFonts w:ascii="Times New Roman" w:hAnsi="Times New Roman" w:cs="Times New Roman"/>
          <w:noProof/>
          <w:sz w:val="24"/>
          <w:szCs w:val="24"/>
        </w:rPr>
      </w:pPr>
      <w:r w:rsidRPr="0058195D">
        <w:rPr>
          <w:rFonts w:ascii="Times New Roman" w:hAnsi="Times New Roman" w:cs="Times New Roman"/>
          <w:noProof/>
          <w:sz w:val="24"/>
          <w:szCs w:val="24"/>
        </w:rPr>
        <w:t xml:space="preserve">2. Bokulich NA, Subramanian S, Faith JJ, Gevers D, Gordon JI, Knight R, et al. Quality-filtering vastly improves diversity estimates from Illumina amplicon sequencing. Nat Methods. 2013;10:57–9. </w:t>
      </w:r>
    </w:p>
    <w:p w14:paraId="065FF51E" w14:textId="77777777" w:rsidR="0058195D" w:rsidRPr="0058195D" w:rsidRDefault="0058195D" w:rsidP="0058195D">
      <w:pPr>
        <w:widowControl w:val="0"/>
        <w:autoSpaceDE w:val="0"/>
        <w:autoSpaceDN w:val="0"/>
        <w:adjustRightInd w:val="0"/>
        <w:spacing w:line="480" w:lineRule="auto"/>
        <w:rPr>
          <w:rFonts w:ascii="Times New Roman" w:hAnsi="Times New Roman" w:cs="Times New Roman"/>
          <w:noProof/>
          <w:sz w:val="24"/>
          <w:szCs w:val="24"/>
        </w:rPr>
      </w:pPr>
      <w:r w:rsidRPr="0058195D">
        <w:rPr>
          <w:rFonts w:ascii="Times New Roman" w:hAnsi="Times New Roman" w:cs="Times New Roman"/>
          <w:noProof/>
          <w:sz w:val="24"/>
          <w:szCs w:val="24"/>
        </w:rPr>
        <w:t xml:space="preserve">3. Caporaso JG, Kuczynski J, Stombaugh J, Bittinger K, Bushman FD, Costello EK, et al. QIIME allows analysis of high-throughput community sequencing data. Nat Methods. 2010;7:335–6. </w:t>
      </w:r>
    </w:p>
    <w:p w14:paraId="2A4B2CB5" w14:textId="77777777" w:rsidR="0058195D" w:rsidRPr="0058195D" w:rsidRDefault="0058195D" w:rsidP="0058195D">
      <w:pPr>
        <w:widowControl w:val="0"/>
        <w:autoSpaceDE w:val="0"/>
        <w:autoSpaceDN w:val="0"/>
        <w:adjustRightInd w:val="0"/>
        <w:spacing w:line="480" w:lineRule="auto"/>
        <w:rPr>
          <w:rFonts w:ascii="Times New Roman" w:hAnsi="Times New Roman" w:cs="Times New Roman"/>
          <w:noProof/>
          <w:sz w:val="24"/>
          <w:szCs w:val="24"/>
        </w:rPr>
      </w:pPr>
      <w:r w:rsidRPr="0058195D">
        <w:rPr>
          <w:rFonts w:ascii="Times New Roman" w:hAnsi="Times New Roman" w:cs="Times New Roman"/>
          <w:noProof/>
          <w:sz w:val="24"/>
          <w:szCs w:val="24"/>
        </w:rPr>
        <w:t xml:space="preserve">4. Edgar RC, Haas BJ, Clemente JC, Quince C, Knight R. UCHIME improves sensitivity and speed of chimera detection. Bioinformatics. 2011;27:2194–200. </w:t>
      </w:r>
    </w:p>
    <w:p w14:paraId="20FEE70F" w14:textId="77777777" w:rsidR="0058195D" w:rsidRPr="00D77802" w:rsidRDefault="0058195D" w:rsidP="0058195D">
      <w:pPr>
        <w:widowControl w:val="0"/>
        <w:autoSpaceDE w:val="0"/>
        <w:autoSpaceDN w:val="0"/>
        <w:adjustRightInd w:val="0"/>
        <w:spacing w:line="480" w:lineRule="auto"/>
        <w:rPr>
          <w:rFonts w:ascii="Times New Roman" w:hAnsi="Times New Roman" w:cs="Times New Roman"/>
          <w:noProof/>
          <w:sz w:val="24"/>
          <w:szCs w:val="24"/>
          <w:lang w:val="nl-NL"/>
        </w:rPr>
      </w:pPr>
      <w:r w:rsidRPr="0058195D">
        <w:rPr>
          <w:rFonts w:ascii="Times New Roman" w:hAnsi="Times New Roman" w:cs="Times New Roman"/>
          <w:noProof/>
          <w:sz w:val="24"/>
          <w:szCs w:val="24"/>
        </w:rPr>
        <w:t xml:space="preserve">5. Edgar RC. UPARSE: highly accurate OTU sequences from microbial amplicon reads. </w:t>
      </w:r>
      <w:r w:rsidRPr="00D77802">
        <w:rPr>
          <w:rFonts w:ascii="Times New Roman" w:hAnsi="Times New Roman" w:cs="Times New Roman"/>
          <w:noProof/>
          <w:sz w:val="24"/>
          <w:szCs w:val="24"/>
          <w:lang w:val="nl-NL"/>
        </w:rPr>
        <w:t xml:space="preserve">Nat Methods. 2013;10:996–8. </w:t>
      </w:r>
    </w:p>
    <w:p w14:paraId="6DF2F2FA" w14:textId="77777777" w:rsidR="0058195D" w:rsidRPr="0058195D" w:rsidRDefault="0058195D" w:rsidP="0058195D">
      <w:pPr>
        <w:widowControl w:val="0"/>
        <w:autoSpaceDE w:val="0"/>
        <w:autoSpaceDN w:val="0"/>
        <w:adjustRightInd w:val="0"/>
        <w:spacing w:line="480" w:lineRule="auto"/>
        <w:rPr>
          <w:rFonts w:ascii="Times New Roman" w:hAnsi="Times New Roman" w:cs="Times New Roman"/>
          <w:noProof/>
          <w:sz w:val="24"/>
          <w:szCs w:val="24"/>
        </w:rPr>
      </w:pPr>
      <w:r w:rsidRPr="00D77802">
        <w:rPr>
          <w:rFonts w:ascii="Times New Roman" w:hAnsi="Times New Roman" w:cs="Times New Roman"/>
          <w:noProof/>
          <w:sz w:val="24"/>
          <w:szCs w:val="24"/>
          <w:lang w:val="nl-NL"/>
        </w:rPr>
        <w:t xml:space="preserve">6. Wang Q, Garrity GM, Tiedje JM, Cole JR. </w:t>
      </w:r>
      <w:r w:rsidRPr="0058195D">
        <w:rPr>
          <w:rFonts w:ascii="Times New Roman" w:hAnsi="Times New Roman" w:cs="Times New Roman"/>
          <w:noProof/>
          <w:sz w:val="24"/>
          <w:szCs w:val="24"/>
        </w:rPr>
        <w:t xml:space="preserve">Naive Bayesian Classifier for Rapid Assignment of rRNA Sequences into the New Bacterial Taxonomy. Appl Environ Microbiol. American Society for Microbiology; 2007;73:5261–7. </w:t>
      </w:r>
    </w:p>
    <w:p w14:paraId="1C605A6E" w14:textId="77777777" w:rsidR="0058195D" w:rsidRPr="0058195D" w:rsidRDefault="0058195D" w:rsidP="0058195D">
      <w:pPr>
        <w:widowControl w:val="0"/>
        <w:autoSpaceDE w:val="0"/>
        <w:autoSpaceDN w:val="0"/>
        <w:adjustRightInd w:val="0"/>
        <w:spacing w:line="480" w:lineRule="auto"/>
        <w:rPr>
          <w:rFonts w:ascii="Times New Roman" w:hAnsi="Times New Roman" w:cs="Times New Roman"/>
          <w:noProof/>
          <w:sz w:val="24"/>
          <w:szCs w:val="24"/>
        </w:rPr>
      </w:pPr>
      <w:r w:rsidRPr="0058195D">
        <w:rPr>
          <w:rFonts w:ascii="Times New Roman" w:hAnsi="Times New Roman" w:cs="Times New Roman"/>
          <w:noProof/>
          <w:sz w:val="24"/>
          <w:szCs w:val="24"/>
        </w:rPr>
        <w:t xml:space="preserve">7. Quast C, Pruesse E, Yilmaz P, Gerken J, Schweer T, Yarza P, et al. The SILVA ribosomal RNA gene database project: improved data processing and web-based tools. Nucleic Acids Res. 2012;41:D590–6. </w:t>
      </w:r>
    </w:p>
    <w:p w14:paraId="377A004F" w14:textId="77777777" w:rsidR="0058195D" w:rsidRPr="0058195D" w:rsidRDefault="0058195D" w:rsidP="0058195D">
      <w:pPr>
        <w:widowControl w:val="0"/>
        <w:autoSpaceDE w:val="0"/>
        <w:autoSpaceDN w:val="0"/>
        <w:adjustRightInd w:val="0"/>
        <w:spacing w:line="480" w:lineRule="auto"/>
        <w:rPr>
          <w:rFonts w:ascii="Times New Roman" w:hAnsi="Times New Roman" w:cs="Times New Roman"/>
          <w:noProof/>
          <w:sz w:val="24"/>
          <w:szCs w:val="24"/>
        </w:rPr>
      </w:pPr>
      <w:r w:rsidRPr="0058195D">
        <w:rPr>
          <w:rFonts w:ascii="Times New Roman" w:hAnsi="Times New Roman" w:cs="Times New Roman"/>
          <w:noProof/>
          <w:sz w:val="24"/>
          <w:szCs w:val="24"/>
        </w:rPr>
        <w:t xml:space="preserve">8. Edgar RC. MUSCLE: multiple sequence alignment with high accuracy and high throughput. Nucleic Acids Res. 2004;32:1792–7. </w:t>
      </w:r>
    </w:p>
    <w:p w14:paraId="5E6AA213" w14:textId="77777777" w:rsidR="0058195D" w:rsidRPr="0058195D" w:rsidRDefault="0058195D" w:rsidP="0058195D">
      <w:pPr>
        <w:widowControl w:val="0"/>
        <w:autoSpaceDE w:val="0"/>
        <w:autoSpaceDN w:val="0"/>
        <w:adjustRightInd w:val="0"/>
        <w:spacing w:line="480" w:lineRule="auto"/>
        <w:rPr>
          <w:rFonts w:ascii="Times New Roman" w:hAnsi="Times New Roman" w:cs="Times New Roman"/>
          <w:noProof/>
          <w:sz w:val="24"/>
          <w:szCs w:val="24"/>
        </w:rPr>
      </w:pPr>
      <w:r w:rsidRPr="0058195D">
        <w:rPr>
          <w:rFonts w:ascii="Times New Roman" w:hAnsi="Times New Roman" w:cs="Times New Roman"/>
          <w:noProof/>
          <w:sz w:val="24"/>
          <w:szCs w:val="24"/>
        </w:rPr>
        <w:t xml:space="preserve">9. Heijnen JJ, Kleerebezem RR. Bioenergetics of Microbial Growth. Encycl Ind Biotechnol. Hoboken, NJ, USA: John Wiley &amp; Sons, Inc.; 2010. p. 1–66. </w:t>
      </w:r>
    </w:p>
    <w:p w14:paraId="3BD8A8C4" w14:textId="77777777" w:rsidR="0058195D" w:rsidRPr="0058195D" w:rsidRDefault="0058195D" w:rsidP="0058195D">
      <w:pPr>
        <w:widowControl w:val="0"/>
        <w:autoSpaceDE w:val="0"/>
        <w:autoSpaceDN w:val="0"/>
        <w:adjustRightInd w:val="0"/>
        <w:spacing w:line="480" w:lineRule="auto"/>
        <w:rPr>
          <w:rFonts w:ascii="Times New Roman" w:hAnsi="Times New Roman" w:cs="Times New Roman"/>
          <w:noProof/>
          <w:sz w:val="24"/>
          <w:szCs w:val="24"/>
        </w:rPr>
      </w:pPr>
      <w:r w:rsidRPr="0058195D">
        <w:rPr>
          <w:rFonts w:ascii="Times New Roman" w:hAnsi="Times New Roman" w:cs="Times New Roman"/>
          <w:noProof/>
          <w:sz w:val="24"/>
          <w:szCs w:val="24"/>
        </w:rPr>
        <w:lastRenderedPageBreak/>
        <w:t xml:space="preserve">10. Fast AG, Papoutsakis ET. Stoichiometric and energetic analyses of non-photosynthetic CO2-fixation pathways to support synthetic biology strategies for production of fuels and chemicals. Curr Opin Chem Eng. 2012;1:380–95. </w:t>
      </w:r>
    </w:p>
    <w:p w14:paraId="01CF3655" w14:textId="77777777" w:rsidR="0058195D" w:rsidRPr="00D77802" w:rsidRDefault="0058195D" w:rsidP="0058195D">
      <w:pPr>
        <w:widowControl w:val="0"/>
        <w:autoSpaceDE w:val="0"/>
        <w:autoSpaceDN w:val="0"/>
        <w:adjustRightInd w:val="0"/>
        <w:spacing w:line="480" w:lineRule="auto"/>
        <w:rPr>
          <w:rFonts w:ascii="Times New Roman" w:hAnsi="Times New Roman" w:cs="Times New Roman"/>
          <w:noProof/>
          <w:sz w:val="24"/>
          <w:szCs w:val="24"/>
          <w:lang w:val="nl-NL"/>
        </w:rPr>
      </w:pPr>
      <w:r w:rsidRPr="0058195D">
        <w:rPr>
          <w:rFonts w:ascii="Times New Roman" w:hAnsi="Times New Roman" w:cs="Times New Roman"/>
          <w:noProof/>
          <w:sz w:val="24"/>
          <w:szCs w:val="24"/>
        </w:rPr>
        <w:t xml:space="preserve">11. Lee HS, Rittmann BE. Evaluation of metabolism using stoichiometry in fermentative biohydrogen. </w:t>
      </w:r>
      <w:r w:rsidRPr="00D77802">
        <w:rPr>
          <w:rFonts w:ascii="Times New Roman" w:hAnsi="Times New Roman" w:cs="Times New Roman"/>
          <w:noProof/>
          <w:sz w:val="24"/>
          <w:szCs w:val="24"/>
          <w:lang w:val="nl-NL"/>
        </w:rPr>
        <w:t xml:space="preserve">Biotechnol Bioeng. 2009;102:749–58. </w:t>
      </w:r>
    </w:p>
    <w:p w14:paraId="0564072A" w14:textId="77777777" w:rsidR="0058195D" w:rsidRPr="0058195D" w:rsidRDefault="0058195D" w:rsidP="0058195D">
      <w:pPr>
        <w:widowControl w:val="0"/>
        <w:autoSpaceDE w:val="0"/>
        <w:autoSpaceDN w:val="0"/>
        <w:adjustRightInd w:val="0"/>
        <w:spacing w:line="480" w:lineRule="auto"/>
        <w:rPr>
          <w:rFonts w:ascii="Times New Roman" w:hAnsi="Times New Roman" w:cs="Times New Roman"/>
          <w:noProof/>
          <w:sz w:val="24"/>
          <w:szCs w:val="24"/>
        </w:rPr>
      </w:pPr>
      <w:r w:rsidRPr="00D77802">
        <w:rPr>
          <w:rFonts w:ascii="Times New Roman" w:hAnsi="Times New Roman" w:cs="Times New Roman"/>
          <w:noProof/>
          <w:sz w:val="24"/>
          <w:szCs w:val="24"/>
          <w:lang w:val="nl-NL"/>
        </w:rPr>
        <w:t xml:space="preserve">12. Zeng AP, Biebl H, Schlieker H, Deckwer WD. </w:t>
      </w:r>
      <w:r w:rsidRPr="0058195D">
        <w:rPr>
          <w:rFonts w:ascii="Times New Roman" w:hAnsi="Times New Roman" w:cs="Times New Roman"/>
          <w:noProof/>
          <w:sz w:val="24"/>
          <w:szCs w:val="24"/>
        </w:rPr>
        <w:t xml:space="preserve">Pathway analysis of glycerol fermentation by Klebsiella pneumoniae: Regulation of reducing equivalent balance and product formation. Enzyme Microb Technol. 1993;15:770–9. </w:t>
      </w:r>
    </w:p>
    <w:p w14:paraId="69739725" w14:textId="77777777" w:rsidR="0058195D" w:rsidRPr="0058195D" w:rsidRDefault="0058195D" w:rsidP="0058195D">
      <w:pPr>
        <w:widowControl w:val="0"/>
        <w:autoSpaceDE w:val="0"/>
        <w:autoSpaceDN w:val="0"/>
        <w:adjustRightInd w:val="0"/>
        <w:spacing w:line="480" w:lineRule="auto"/>
        <w:rPr>
          <w:rFonts w:ascii="Times New Roman" w:hAnsi="Times New Roman" w:cs="Times New Roman"/>
          <w:noProof/>
          <w:sz w:val="24"/>
        </w:rPr>
      </w:pPr>
      <w:r w:rsidRPr="0058195D">
        <w:rPr>
          <w:rFonts w:ascii="Times New Roman" w:hAnsi="Times New Roman" w:cs="Times New Roman"/>
          <w:noProof/>
          <w:sz w:val="24"/>
          <w:szCs w:val="24"/>
        </w:rPr>
        <w:t xml:space="preserve">13. González-Cabaleiro R, Ofit¸eru ID, Lema JM, Rodríguez J. Microbial catabolic activities are naturally selected by metabolic energy harvest rate. ISME J. 2016;9:2630–41. </w:t>
      </w:r>
    </w:p>
    <w:p w14:paraId="7D7542D0" w14:textId="70989D67" w:rsidR="002A2E2A" w:rsidRPr="000C7A0A" w:rsidRDefault="001D7B0F" w:rsidP="0058195D">
      <w:pPr>
        <w:widowControl w:val="0"/>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sectPr w:rsidR="002A2E2A" w:rsidRPr="000C7A0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94F6F" w14:textId="77777777" w:rsidR="00711AE1" w:rsidRDefault="00711AE1" w:rsidP="000C7A0A">
      <w:pPr>
        <w:spacing w:after="0" w:line="240" w:lineRule="auto"/>
      </w:pPr>
      <w:r>
        <w:separator/>
      </w:r>
    </w:p>
  </w:endnote>
  <w:endnote w:type="continuationSeparator" w:id="0">
    <w:p w14:paraId="2FDB69DE" w14:textId="77777777" w:rsidR="00711AE1" w:rsidRDefault="00711AE1" w:rsidP="000C7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auto"/>
    <w:pitch w:val="variable"/>
    <w:sig w:usb0="00000000"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930346348"/>
      <w:docPartObj>
        <w:docPartGallery w:val="Page Numbers (Bottom of Page)"/>
        <w:docPartUnique/>
      </w:docPartObj>
    </w:sdtPr>
    <w:sdtEndPr>
      <w:rPr>
        <w:noProof/>
      </w:rPr>
    </w:sdtEndPr>
    <w:sdtContent>
      <w:p w14:paraId="05915BD3" w14:textId="03BF6782" w:rsidR="000C7A0A" w:rsidRPr="000C7A0A" w:rsidRDefault="000C7A0A">
        <w:pPr>
          <w:pStyle w:val="Footer"/>
          <w:jc w:val="right"/>
          <w:rPr>
            <w:rFonts w:ascii="Arial" w:hAnsi="Arial" w:cs="Arial"/>
            <w:sz w:val="20"/>
            <w:szCs w:val="20"/>
          </w:rPr>
        </w:pPr>
        <w:r w:rsidRPr="000C7A0A">
          <w:rPr>
            <w:rFonts w:ascii="Arial" w:hAnsi="Arial" w:cs="Arial"/>
            <w:sz w:val="20"/>
            <w:szCs w:val="20"/>
          </w:rPr>
          <w:fldChar w:fldCharType="begin"/>
        </w:r>
        <w:r w:rsidRPr="000C7A0A">
          <w:rPr>
            <w:rFonts w:ascii="Arial" w:hAnsi="Arial" w:cs="Arial"/>
            <w:sz w:val="20"/>
            <w:szCs w:val="20"/>
          </w:rPr>
          <w:instrText xml:space="preserve"> PAGE   \* MERGEFORMAT </w:instrText>
        </w:r>
        <w:r w:rsidRPr="000C7A0A">
          <w:rPr>
            <w:rFonts w:ascii="Arial" w:hAnsi="Arial" w:cs="Arial"/>
            <w:sz w:val="20"/>
            <w:szCs w:val="20"/>
          </w:rPr>
          <w:fldChar w:fldCharType="separate"/>
        </w:r>
        <w:r w:rsidR="00B0735A">
          <w:rPr>
            <w:rFonts w:ascii="Arial" w:hAnsi="Arial" w:cs="Arial"/>
            <w:noProof/>
            <w:sz w:val="20"/>
            <w:szCs w:val="20"/>
          </w:rPr>
          <w:t>7</w:t>
        </w:r>
        <w:r w:rsidRPr="000C7A0A">
          <w:rPr>
            <w:rFonts w:ascii="Arial" w:hAnsi="Arial" w:cs="Arial"/>
            <w:noProof/>
            <w:sz w:val="20"/>
            <w:szCs w:val="20"/>
          </w:rPr>
          <w:fldChar w:fldCharType="end"/>
        </w:r>
      </w:p>
    </w:sdtContent>
  </w:sdt>
  <w:p w14:paraId="1A6AE65C" w14:textId="77777777" w:rsidR="000C7A0A" w:rsidRDefault="000C7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F6BC7" w14:textId="77777777" w:rsidR="00711AE1" w:rsidRDefault="00711AE1" w:rsidP="000C7A0A">
      <w:pPr>
        <w:spacing w:after="0" w:line="240" w:lineRule="auto"/>
      </w:pPr>
      <w:r>
        <w:separator/>
      </w:r>
    </w:p>
  </w:footnote>
  <w:footnote w:type="continuationSeparator" w:id="0">
    <w:p w14:paraId="32F0E144" w14:textId="77777777" w:rsidR="00711AE1" w:rsidRDefault="00711AE1" w:rsidP="000C7A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B7666"/>
    <w:multiLevelType w:val="multilevel"/>
    <w:tmpl w:val="615EAD26"/>
    <w:lvl w:ilvl="0">
      <w:start w:val="1"/>
      <w:numFmt w:val="decimal"/>
      <w:lvlText w:val="%1."/>
      <w:lvlJc w:val="left"/>
      <w:pPr>
        <w:ind w:left="0" w:firstLine="0"/>
      </w:pPr>
      <w:rPr>
        <w:rFonts w:hint="default"/>
        <w:b/>
        <w:lang w:val="en-GB"/>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ascii="Times New Roman" w:hAnsi="Times New Roman" w:hint="default"/>
        <w:b/>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EC0601A"/>
    <w:multiLevelType w:val="multilevel"/>
    <w:tmpl w:val="2D740DBE"/>
    <w:styleLink w:val="Headings"/>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lowerRoman"/>
      <w:lvlText w:val="%6."/>
      <w:lvlJc w:val="righ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right"/>
      <w:pPr>
        <w:tabs>
          <w:tab w:val="num" w:pos="567"/>
        </w:tabs>
        <w:ind w:left="567" w:hanging="567"/>
      </w:pPr>
      <w:rPr>
        <w:rFonts w:hint="default"/>
      </w:rPr>
    </w:lvl>
  </w:abstractNum>
  <w:abstractNum w:abstractNumId="2" w15:restartNumberingAfterBreak="0">
    <w:nsid w:val="49256573"/>
    <w:multiLevelType w:val="multilevel"/>
    <w:tmpl w:val="8E7244B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5F6754D"/>
    <w:multiLevelType w:val="multilevel"/>
    <w:tmpl w:val="7B5A8AA8"/>
    <w:lvl w:ilvl="0">
      <w:start w:val="1"/>
      <w:numFmt w:val="decimal"/>
      <w:pStyle w:val="Heading1"/>
      <w:suff w:val="space"/>
      <w:lvlText w:val="Chapter %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Abstract"/>
      <w:suff w:val="nothing"/>
      <w:lvlText w:val=""/>
      <w:lvlJc w:val="left"/>
      <w:pPr>
        <w:ind w:left="0" w:firstLine="720"/>
      </w:pPr>
      <w:rPr>
        <w:rFonts w:hint="default"/>
      </w:rPr>
    </w:lvl>
    <w:lvl w:ilvl="6">
      <w:start w:val="1"/>
      <w:numFmt w:val="none"/>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7EF25284"/>
    <w:multiLevelType w:val="hybridMultilevel"/>
    <w:tmpl w:val="059C6F84"/>
    <w:lvl w:ilvl="0" w:tplc="70922B5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IzNzUxtTA1NrAwsrBU0lEKTi0uzszPAykwqQUAvJr4tiwAAAA="/>
  </w:docVars>
  <w:rsids>
    <w:rsidRoot w:val="002A2E2A"/>
    <w:rsid w:val="000C7A0A"/>
    <w:rsid w:val="000D1D6E"/>
    <w:rsid w:val="0013145A"/>
    <w:rsid w:val="001D7B0F"/>
    <w:rsid w:val="001E1D3A"/>
    <w:rsid w:val="00243AE0"/>
    <w:rsid w:val="002848FE"/>
    <w:rsid w:val="002A2E2A"/>
    <w:rsid w:val="00310F0F"/>
    <w:rsid w:val="003A5B07"/>
    <w:rsid w:val="003D5E52"/>
    <w:rsid w:val="00404DF3"/>
    <w:rsid w:val="00482C69"/>
    <w:rsid w:val="00545C8C"/>
    <w:rsid w:val="0058195D"/>
    <w:rsid w:val="005F097F"/>
    <w:rsid w:val="00711AE1"/>
    <w:rsid w:val="00732864"/>
    <w:rsid w:val="00790FE7"/>
    <w:rsid w:val="0079391F"/>
    <w:rsid w:val="007D6B5E"/>
    <w:rsid w:val="008432CE"/>
    <w:rsid w:val="008F7461"/>
    <w:rsid w:val="00936831"/>
    <w:rsid w:val="00AA3429"/>
    <w:rsid w:val="00B0735A"/>
    <w:rsid w:val="00B07B77"/>
    <w:rsid w:val="00BB4F20"/>
    <w:rsid w:val="00D05E48"/>
    <w:rsid w:val="00D77802"/>
    <w:rsid w:val="00DA6DE4"/>
    <w:rsid w:val="00E07644"/>
    <w:rsid w:val="00E212D7"/>
    <w:rsid w:val="00E5002F"/>
    <w:rsid w:val="00EA3186"/>
    <w:rsid w:val="00F37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D1CC4"/>
  <w15:chartTrackingRefBased/>
  <w15:docId w15:val="{092C29DE-6A9B-411F-A1F4-E50DCB339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Title"/>
    <w:next w:val="Normal"/>
    <w:link w:val="Heading1Char"/>
    <w:autoRedefine/>
    <w:uiPriority w:val="9"/>
    <w:qFormat/>
    <w:rsid w:val="002A2E2A"/>
    <w:pPr>
      <w:numPr>
        <w:numId w:val="1"/>
      </w:numPr>
      <w:spacing w:before="240" w:after="240"/>
      <w:jc w:val="both"/>
      <w:outlineLvl w:val="0"/>
    </w:pPr>
    <w:rPr>
      <w:rFonts w:ascii="Arial" w:hAnsi="Arial"/>
      <w:b/>
    </w:rPr>
  </w:style>
  <w:style w:type="paragraph" w:styleId="Heading2">
    <w:name w:val="heading 2"/>
    <w:basedOn w:val="Heading1"/>
    <w:next w:val="Normal"/>
    <w:link w:val="Heading2Char"/>
    <w:autoRedefine/>
    <w:uiPriority w:val="9"/>
    <w:unhideWhenUsed/>
    <w:qFormat/>
    <w:rsid w:val="002A2E2A"/>
    <w:pPr>
      <w:numPr>
        <w:ilvl w:val="1"/>
      </w:numPr>
      <w:spacing w:before="120" w:after="120" w:line="480" w:lineRule="auto"/>
      <w:outlineLvl w:val="1"/>
    </w:pPr>
    <w:rPr>
      <w:sz w:val="28"/>
    </w:rPr>
  </w:style>
  <w:style w:type="paragraph" w:styleId="Heading3">
    <w:name w:val="heading 3"/>
    <w:basedOn w:val="Heading2"/>
    <w:next w:val="Normal"/>
    <w:link w:val="Heading3Char"/>
    <w:autoRedefine/>
    <w:uiPriority w:val="9"/>
    <w:unhideWhenUsed/>
    <w:qFormat/>
    <w:rsid w:val="002A2E2A"/>
    <w:pPr>
      <w:numPr>
        <w:ilvl w:val="2"/>
      </w:numPr>
      <w:outlineLvl w:val="2"/>
    </w:pPr>
    <w:rPr>
      <w:sz w:val="26"/>
    </w:rPr>
  </w:style>
  <w:style w:type="paragraph" w:styleId="Heading4">
    <w:name w:val="heading 4"/>
    <w:basedOn w:val="Heading3"/>
    <w:next w:val="Normal"/>
    <w:link w:val="Heading4Char"/>
    <w:autoRedefine/>
    <w:uiPriority w:val="9"/>
    <w:unhideWhenUsed/>
    <w:qFormat/>
    <w:rsid w:val="002A2E2A"/>
    <w:pPr>
      <w:numPr>
        <w:ilvl w:val="3"/>
      </w:numPr>
      <w:outlineLvl w:val="3"/>
    </w:pPr>
    <w:rPr>
      <w:i/>
      <w:sz w:val="24"/>
    </w:rPr>
  </w:style>
  <w:style w:type="paragraph" w:styleId="Heading5">
    <w:name w:val="heading 5"/>
    <w:basedOn w:val="Heading4"/>
    <w:next w:val="Normal"/>
    <w:link w:val="Heading5Char"/>
    <w:autoRedefine/>
    <w:uiPriority w:val="9"/>
    <w:unhideWhenUsed/>
    <w:qFormat/>
    <w:rsid w:val="002A2E2A"/>
    <w:pPr>
      <w:numPr>
        <w:ilvl w:val="4"/>
      </w:numPr>
      <w:outlineLvl w:val="4"/>
    </w:pPr>
    <w:rPr>
      <w:b w:val="0"/>
      <w:u w:val="single"/>
    </w:rPr>
  </w:style>
  <w:style w:type="paragraph" w:styleId="Heading8">
    <w:name w:val="heading 8"/>
    <w:basedOn w:val="Normal"/>
    <w:next w:val="Normal"/>
    <w:link w:val="Heading8Char"/>
    <w:uiPriority w:val="9"/>
    <w:unhideWhenUsed/>
    <w:qFormat/>
    <w:rsid w:val="002A2E2A"/>
    <w:pPr>
      <w:keepNext/>
      <w:keepLines/>
      <w:numPr>
        <w:ilvl w:val="7"/>
        <w:numId w:val="1"/>
      </w:numPr>
      <w:spacing w:before="40" w:after="240" w:line="360"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A2E2A"/>
    <w:pPr>
      <w:keepNext/>
      <w:keepLines/>
      <w:numPr>
        <w:ilvl w:val="8"/>
        <w:numId w:val="1"/>
      </w:numPr>
      <w:spacing w:before="40" w:after="240" w:line="360"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2A2E2A"/>
    <w:rPr>
      <w:rFonts w:ascii="Arial" w:eastAsiaTheme="majorEastAsia" w:hAnsi="Arial" w:cstheme="majorBidi"/>
      <w:b/>
      <w:spacing w:val="-10"/>
      <w:kern w:val="28"/>
      <w:sz w:val="56"/>
      <w:szCs w:val="56"/>
    </w:rPr>
  </w:style>
  <w:style w:type="character" w:customStyle="1" w:styleId="Heading2Char">
    <w:name w:val="Heading 2 Char"/>
    <w:basedOn w:val="DefaultParagraphFont"/>
    <w:link w:val="Heading2"/>
    <w:uiPriority w:val="2"/>
    <w:rsid w:val="002A2E2A"/>
    <w:rPr>
      <w:rFonts w:ascii="Arial" w:eastAsiaTheme="majorEastAsia" w:hAnsi="Arial" w:cstheme="majorBidi"/>
      <w:b/>
      <w:spacing w:val="-10"/>
      <w:kern w:val="28"/>
      <w:sz w:val="28"/>
      <w:szCs w:val="56"/>
    </w:rPr>
  </w:style>
  <w:style w:type="character" w:customStyle="1" w:styleId="Heading3Char">
    <w:name w:val="Heading 3 Char"/>
    <w:basedOn w:val="DefaultParagraphFont"/>
    <w:link w:val="Heading3"/>
    <w:uiPriority w:val="9"/>
    <w:rsid w:val="002A2E2A"/>
    <w:rPr>
      <w:rFonts w:ascii="Arial" w:eastAsiaTheme="majorEastAsia" w:hAnsi="Arial" w:cstheme="majorBidi"/>
      <w:b/>
      <w:spacing w:val="-10"/>
      <w:kern w:val="28"/>
      <w:sz w:val="26"/>
      <w:szCs w:val="56"/>
    </w:rPr>
  </w:style>
  <w:style w:type="character" w:customStyle="1" w:styleId="Heading4Char">
    <w:name w:val="Heading 4 Char"/>
    <w:basedOn w:val="DefaultParagraphFont"/>
    <w:link w:val="Heading4"/>
    <w:uiPriority w:val="9"/>
    <w:rsid w:val="002A2E2A"/>
    <w:rPr>
      <w:rFonts w:ascii="Arial" w:eastAsiaTheme="majorEastAsia" w:hAnsi="Arial" w:cstheme="majorBidi"/>
      <w:b/>
      <w:i/>
      <w:spacing w:val="-10"/>
      <w:kern w:val="28"/>
      <w:sz w:val="24"/>
      <w:szCs w:val="56"/>
    </w:rPr>
  </w:style>
  <w:style w:type="character" w:customStyle="1" w:styleId="Heading5Char">
    <w:name w:val="Heading 5 Char"/>
    <w:basedOn w:val="DefaultParagraphFont"/>
    <w:link w:val="Heading5"/>
    <w:uiPriority w:val="9"/>
    <w:rsid w:val="002A2E2A"/>
    <w:rPr>
      <w:rFonts w:ascii="Arial" w:eastAsiaTheme="majorEastAsia" w:hAnsi="Arial" w:cstheme="majorBidi"/>
      <w:i/>
      <w:spacing w:val="-10"/>
      <w:kern w:val="28"/>
      <w:sz w:val="24"/>
      <w:szCs w:val="56"/>
      <w:u w:val="single"/>
    </w:rPr>
  </w:style>
  <w:style w:type="character" w:customStyle="1" w:styleId="Heading8Char">
    <w:name w:val="Heading 8 Char"/>
    <w:basedOn w:val="DefaultParagraphFont"/>
    <w:link w:val="Heading8"/>
    <w:uiPriority w:val="9"/>
    <w:rsid w:val="002A2E2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A2E2A"/>
    <w:rPr>
      <w:rFonts w:asciiTheme="majorHAnsi" w:eastAsiaTheme="majorEastAsia" w:hAnsiTheme="majorHAnsi" w:cstheme="majorBidi"/>
      <w:i/>
      <w:iCs/>
      <w:color w:val="272727" w:themeColor="text1" w:themeTint="D8"/>
      <w:sz w:val="21"/>
      <w:szCs w:val="21"/>
    </w:rPr>
  </w:style>
  <w:style w:type="paragraph" w:customStyle="1" w:styleId="Abstract">
    <w:name w:val="Abstract"/>
    <w:basedOn w:val="Heading2"/>
    <w:autoRedefine/>
    <w:qFormat/>
    <w:rsid w:val="002A2E2A"/>
    <w:pPr>
      <w:numPr>
        <w:ilvl w:val="5"/>
      </w:numPr>
      <w:tabs>
        <w:tab w:val="num" w:pos="360"/>
      </w:tabs>
    </w:pPr>
  </w:style>
  <w:style w:type="paragraph" w:styleId="Title">
    <w:name w:val="Title"/>
    <w:basedOn w:val="Normal"/>
    <w:next w:val="Normal"/>
    <w:link w:val="TitleChar"/>
    <w:uiPriority w:val="10"/>
    <w:qFormat/>
    <w:rsid w:val="002A2E2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E2A"/>
    <w:rPr>
      <w:rFonts w:asciiTheme="majorHAnsi" w:eastAsiaTheme="majorEastAsia" w:hAnsiTheme="majorHAnsi" w:cstheme="majorBidi"/>
      <w:spacing w:val="-10"/>
      <w:kern w:val="28"/>
      <w:sz w:val="56"/>
      <w:szCs w:val="56"/>
    </w:rPr>
  </w:style>
  <w:style w:type="numbering" w:customStyle="1" w:styleId="Headings">
    <w:name w:val="Headings"/>
    <w:uiPriority w:val="99"/>
    <w:rsid w:val="002A2E2A"/>
    <w:pPr>
      <w:numPr>
        <w:numId w:val="3"/>
      </w:numPr>
    </w:pPr>
  </w:style>
  <w:style w:type="paragraph" w:customStyle="1" w:styleId="Body">
    <w:name w:val="Body"/>
    <w:basedOn w:val="Normal"/>
    <w:link w:val="BodyChar"/>
    <w:qFormat/>
    <w:rsid w:val="00E07644"/>
    <w:pPr>
      <w:spacing w:after="200" w:line="480" w:lineRule="auto"/>
      <w:ind w:firstLineChars="180" w:firstLine="180"/>
      <w:jc w:val="both"/>
    </w:pPr>
    <w:rPr>
      <w:rFonts w:ascii="Times New Roman" w:hAnsi="Times New Roman"/>
      <w:sz w:val="24"/>
      <w:lang w:val="nl-NL"/>
    </w:rPr>
  </w:style>
  <w:style w:type="character" w:customStyle="1" w:styleId="BodyChar">
    <w:name w:val="Body Char"/>
    <w:basedOn w:val="DefaultParagraphFont"/>
    <w:link w:val="Body"/>
    <w:rsid w:val="00E07644"/>
    <w:rPr>
      <w:rFonts w:ascii="Times New Roman" w:hAnsi="Times New Roman"/>
      <w:sz w:val="24"/>
      <w:lang w:val="nl-NL"/>
    </w:rPr>
  </w:style>
  <w:style w:type="character" w:styleId="CommentReference">
    <w:name w:val="annotation reference"/>
    <w:basedOn w:val="DefaultParagraphFont"/>
    <w:uiPriority w:val="99"/>
    <w:semiHidden/>
    <w:unhideWhenUsed/>
    <w:qFormat/>
    <w:rsid w:val="00E5002F"/>
    <w:rPr>
      <w:sz w:val="16"/>
      <w:szCs w:val="16"/>
    </w:rPr>
  </w:style>
  <w:style w:type="paragraph" w:styleId="CommentText">
    <w:name w:val="annotation text"/>
    <w:basedOn w:val="Normal"/>
    <w:link w:val="CommentTextChar"/>
    <w:uiPriority w:val="99"/>
    <w:unhideWhenUsed/>
    <w:qFormat/>
    <w:rsid w:val="00E5002F"/>
    <w:pPr>
      <w:spacing w:before="240" w:after="240" w:line="240" w:lineRule="auto"/>
      <w:jc w:val="both"/>
    </w:pPr>
    <w:rPr>
      <w:rFonts w:ascii="Times New Roman" w:hAnsi="Times New Roman"/>
      <w:sz w:val="20"/>
      <w:szCs w:val="20"/>
    </w:rPr>
  </w:style>
  <w:style w:type="character" w:customStyle="1" w:styleId="CommentTextChar">
    <w:name w:val="Comment Text Char"/>
    <w:basedOn w:val="DefaultParagraphFont"/>
    <w:link w:val="CommentText"/>
    <w:uiPriority w:val="99"/>
    <w:qFormat/>
    <w:rsid w:val="00E5002F"/>
    <w:rPr>
      <w:rFonts w:ascii="Times New Roman" w:hAnsi="Times New Roman"/>
      <w:sz w:val="20"/>
      <w:szCs w:val="20"/>
    </w:rPr>
  </w:style>
  <w:style w:type="paragraph" w:styleId="BalloonText">
    <w:name w:val="Balloon Text"/>
    <w:basedOn w:val="Normal"/>
    <w:link w:val="BalloonTextChar"/>
    <w:uiPriority w:val="99"/>
    <w:semiHidden/>
    <w:unhideWhenUsed/>
    <w:rsid w:val="00E500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002F"/>
    <w:rPr>
      <w:rFonts w:ascii="Segoe UI" w:hAnsi="Segoe UI" w:cs="Segoe UI"/>
      <w:sz w:val="18"/>
      <w:szCs w:val="18"/>
    </w:rPr>
  </w:style>
  <w:style w:type="paragraph" w:customStyle="1" w:styleId="FigureTitle">
    <w:name w:val="Figure Title"/>
    <w:basedOn w:val="Normal"/>
    <w:link w:val="FigureTitleChar"/>
    <w:autoRedefine/>
    <w:qFormat/>
    <w:rsid w:val="00DA6DE4"/>
    <w:pPr>
      <w:spacing w:before="240" w:after="240" w:line="480" w:lineRule="auto"/>
      <w:jc w:val="both"/>
    </w:pPr>
    <w:rPr>
      <w:rFonts w:ascii="Times New Roman" w:hAnsi="Times New Roman"/>
      <w:sz w:val="24"/>
      <w:szCs w:val="24"/>
    </w:rPr>
  </w:style>
  <w:style w:type="character" w:customStyle="1" w:styleId="FigureTitleChar">
    <w:name w:val="Figure Title Char"/>
    <w:basedOn w:val="DefaultParagraphFont"/>
    <w:link w:val="FigureTitle"/>
    <w:rsid w:val="00DA6DE4"/>
    <w:rPr>
      <w:rFonts w:ascii="Times New Roman" w:hAnsi="Times New Roman"/>
      <w:sz w:val="24"/>
      <w:szCs w:val="24"/>
    </w:rPr>
  </w:style>
  <w:style w:type="table" w:styleId="ListTable3">
    <w:name w:val="List Table 3"/>
    <w:basedOn w:val="TableNormal"/>
    <w:uiPriority w:val="48"/>
    <w:rsid w:val="00E5002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Caption">
    <w:name w:val="caption"/>
    <w:basedOn w:val="Normal"/>
    <w:next w:val="Normal"/>
    <w:uiPriority w:val="35"/>
    <w:unhideWhenUsed/>
    <w:qFormat/>
    <w:rsid w:val="00E5002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0C7A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A0A"/>
  </w:style>
  <w:style w:type="paragraph" w:styleId="Footer">
    <w:name w:val="footer"/>
    <w:basedOn w:val="Normal"/>
    <w:link w:val="FooterChar"/>
    <w:uiPriority w:val="99"/>
    <w:unhideWhenUsed/>
    <w:rsid w:val="000C7A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A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tif"/><Relationship Id="rId4" Type="http://schemas.openxmlformats.org/officeDocument/2006/relationships/settings" Target="settings.xml"/><Relationship Id="rId9"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555C3-384E-49E2-82A2-54EEEDB70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5388</Words>
  <Characters>30715</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TU Delft</Company>
  <LinksUpToDate>false</LinksUpToDate>
  <CharactersWithSpaces>36031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Ceron Chafla - CITG</dc:creator>
  <cp:keywords/>
  <dc:description/>
  <cp:lastModifiedBy>Pamela Ceron Chafla</cp:lastModifiedBy>
  <cp:revision>3</cp:revision>
  <dcterms:created xsi:type="dcterms:W3CDTF">2023-01-31T19:33:00Z</dcterms:created>
  <dcterms:modified xsi:type="dcterms:W3CDTF">2023-01-31T19:41:00Z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http://www.zotero.org/styles/biotechnology-for-biofuels</vt:lpwstr>
  </property>
  <property fmtid="{D5CDD505-2E9C-101B-9397-08002B2CF9AE}" pid="3" name="Mendeley Recent Style Name 0_1">
    <vt:lpwstr>Biotechnology for Biofuels</vt:lpwstr>
  </property>
  <property fmtid="{D5CDD505-2E9C-101B-9397-08002B2CF9AE}" pid="4" name="Mendeley Recent Style Id 1_1">
    <vt:lpwstr>http://www.zotero.org/styles/elsevier-vancouver-author-date</vt:lpwstr>
  </property>
  <property fmtid="{D5CDD505-2E9C-101B-9397-08002B2CF9AE}" pid="5" name="Mendeley Recent Style Name 1_1">
    <vt:lpwstr>Elsevier - Vancouver (author-date)</vt:lpwstr>
  </property>
  <property fmtid="{D5CDD505-2E9C-101B-9397-08002B2CF9AE}" pid="6" name="Mendeley Recent Style Id 2_1">
    <vt:lpwstr>http://csl.mendeley.com/styles/601729371/frontiers-3</vt:lpwstr>
  </property>
  <property fmtid="{D5CDD505-2E9C-101B-9397-08002B2CF9AE}" pid="7" name="Mendeley Recent Style Name 2_1">
    <vt:lpwstr>Frontiers journals - Pamela Ceron</vt:lpwstr>
  </property>
  <property fmtid="{D5CDD505-2E9C-101B-9397-08002B2CF9AE}" pid="8" name="Mendeley Recent Style Id 3_1">
    <vt:lpwstr>http://csl.mendeley.com/styles/28424881/ieee-2pc</vt:lpwstr>
  </property>
  <property fmtid="{D5CDD505-2E9C-101B-9397-08002B2CF9AE}" pid="9" name="Mendeley Recent Style Name 3_1">
    <vt:lpwstr>IEEE - Pamela Ceron (v2)</vt:lpwstr>
  </property>
  <property fmtid="{D5CDD505-2E9C-101B-9397-08002B2CF9AE}" pid="10" name="Mendeley Recent Style Id 4_1">
    <vt:lpwstr>http://www.zotero.org/styles/modern-humanities-research-association</vt:lpwstr>
  </property>
  <property fmtid="{D5CDD505-2E9C-101B-9397-08002B2CF9AE}" pid="11" name="Mendeley Recent Style Name 4_1">
    <vt:lpwstr>Modern Humanities Research Association 3rd edition (note with bibliography)</vt:lpwstr>
  </property>
  <property fmtid="{D5CDD505-2E9C-101B-9397-08002B2CF9AE}" pid="12" name="Mendeley Recent Style Id 5_1">
    <vt:lpwstr>http://www.zotero.org/styles/modern-language-association</vt:lpwstr>
  </property>
  <property fmtid="{D5CDD505-2E9C-101B-9397-08002B2CF9AE}" pid="13" name="Mendeley Recent Style Name 5_1">
    <vt:lpwstr>Modern Language Association 8th edition</vt:lpwstr>
  </property>
  <property fmtid="{D5CDD505-2E9C-101B-9397-08002B2CF9AE}" pid="14" name="Mendeley Recent Style Id 6_1">
    <vt:lpwstr>http://www.zotero.org/styles/nature-publishing-group-vancouver</vt:lpwstr>
  </property>
  <property fmtid="{D5CDD505-2E9C-101B-9397-08002B2CF9AE}" pid="15" name="Mendeley Recent Style Name 6_1">
    <vt:lpwstr>Nature Publishing Group - Vancouver</vt:lpwstr>
  </property>
  <property fmtid="{D5CDD505-2E9C-101B-9397-08002B2CF9AE}" pid="16" name="Mendeley Recent Style Id 7_1">
    <vt:lpwstr>http://www.zotero.org/styles/science-of-the-total-environment</vt:lpwstr>
  </property>
  <property fmtid="{D5CDD505-2E9C-101B-9397-08002B2CF9AE}" pid="17" name="Mendeley Recent Style Name 7_1">
    <vt:lpwstr>Science of the Total Environment</vt:lpwstr>
  </property>
  <property fmtid="{D5CDD505-2E9C-101B-9397-08002B2CF9AE}" pid="18" name="Mendeley Recent Style Id 8_1">
    <vt:lpwstr>http://csl.mendeley.com/styles/28424881/Vancouver-Biotech-for-Biofuels</vt:lpwstr>
  </property>
  <property fmtid="{D5CDD505-2E9C-101B-9397-08002B2CF9AE}" pid="19" name="Mendeley Recent Style Name 8_1">
    <vt:lpwstr>Springer - Vancouver (brackets) - Pamela Ceron</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df38cc9b-f938-3cea-a963-19b325565fdc</vt:lpwstr>
  </property>
  <property fmtid="{D5CDD505-2E9C-101B-9397-08002B2CF9AE}" pid="24" name="Mendeley Citation Style_1">
    <vt:lpwstr>http://csl.mendeley.com/styles/28424881/Vancouver-Biotech-for-Biofuels</vt:lpwstr>
  </property>
</Properties>
</file>