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BF"/>
      </w:tblPr>
      <w:tblGrid>
        <w:gridCol w:w="4419"/>
        <w:gridCol w:w="4437"/>
      </w:tblGrid>
      <w:tr w:rsidR="005F49A9">
        <w:tc>
          <w:tcPr>
            <w:tcW w:w="4788" w:type="dxa"/>
          </w:tcPr>
          <w:p w:rsidR="005F49A9" w:rsidRPr="00116E83" w:rsidRDefault="005F49A9">
            <w:pPr>
              <w:rPr>
                <w:rFonts w:ascii="Times New Roman" w:hAnsi="Times New Roman"/>
              </w:rPr>
            </w:pPr>
            <w:r w:rsidRPr="001234B9">
              <w:br/>
            </w:r>
            <w:r w:rsidRPr="00116E83">
              <w:rPr>
                <w:rFonts w:ascii="Times New Roman" w:hAnsi="Times New Roman"/>
              </w:rPr>
              <w:t>National Aeronautics and</w:t>
            </w:r>
            <w:r w:rsidRPr="00116E83">
              <w:rPr>
                <w:rFonts w:ascii="Times New Roman" w:hAnsi="Times New Roman"/>
              </w:rPr>
              <w:br/>
              <w:t>Space Administration</w:t>
            </w:r>
          </w:p>
          <w:p w:rsidR="00116E83" w:rsidRPr="00116E83" w:rsidRDefault="005F49A9" w:rsidP="00116E83">
            <w:pPr>
              <w:rPr>
                <w:rFonts w:ascii="Times New Roman" w:hAnsi="Times New Roman"/>
              </w:rPr>
            </w:pPr>
            <w:r w:rsidRPr="00116E83">
              <w:rPr>
                <w:rFonts w:ascii="Times New Roman" w:hAnsi="Times New Roman"/>
              </w:rPr>
              <w:t xml:space="preserve">Goddard </w:t>
            </w:r>
            <w:r w:rsidR="00116E83" w:rsidRPr="00116E83">
              <w:rPr>
                <w:rFonts w:ascii="Times New Roman" w:hAnsi="Times New Roman"/>
              </w:rPr>
              <w:t>Space Flight Center</w:t>
            </w:r>
          </w:p>
          <w:p w:rsidR="005F49A9" w:rsidRPr="007B4B27" w:rsidRDefault="00116E83" w:rsidP="00116E83">
            <w:pPr>
              <w:rPr>
                <w:rFonts w:ascii="Arial" w:hAnsi="Arial"/>
              </w:rPr>
            </w:pPr>
            <w:r w:rsidRPr="00116E83">
              <w:rPr>
                <w:rFonts w:ascii="Times New Roman" w:hAnsi="Times New Roman"/>
              </w:rPr>
              <w:t>Greenbelt, MD 20771</w:t>
            </w:r>
          </w:p>
        </w:tc>
        <w:tc>
          <w:tcPr>
            <w:tcW w:w="4788" w:type="dxa"/>
          </w:tcPr>
          <w:p w:rsidR="005F49A9" w:rsidRDefault="005F49A9" w:rsidP="005F49A9">
            <w:pPr>
              <w:spacing w:before="120"/>
              <w:jc w:val="right"/>
            </w:pPr>
            <w:r>
              <w:rPr>
                <w:noProof/>
              </w:rPr>
              <w:drawing>
                <wp:inline distT="0" distB="0" distL="0" distR="0">
                  <wp:extent cx="985520" cy="827405"/>
                  <wp:effectExtent l="25400" t="0" r="5080" b="0"/>
                  <wp:docPr id="1" name="Picture 1" descr="full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llwhite"/>
                          <pic:cNvPicPr>
                            <a:picLocks noChangeAspect="1" noChangeArrowheads="1"/>
                          </pic:cNvPicPr>
                        </pic:nvPicPr>
                        <pic:blipFill>
                          <a:blip r:embed="rId5"/>
                          <a:srcRect l="20079" t="22203" r="20079" b="22203"/>
                          <a:stretch>
                            <a:fillRect/>
                          </a:stretch>
                        </pic:blipFill>
                        <pic:spPr bwMode="auto">
                          <a:xfrm>
                            <a:off x="0" y="0"/>
                            <a:ext cx="985520" cy="827405"/>
                          </a:xfrm>
                          <a:prstGeom prst="rect">
                            <a:avLst/>
                          </a:prstGeom>
                          <a:noFill/>
                          <a:ln w="9525">
                            <a:noFill/>
                            <a:miter lim="800000"/>
                            <a:headEnd/>
                            <a:tailEnd/>
                          </a:ln>
                        </pic:spPr>
                      </pic:pic>
                    </a:graphicData>
                  </a:graphic>
                </wp:inline>
              </w:drawing>
            </w:r>
          </w:p>
        </w:tc>
      </w:tr>
    </w:tbl>
    <w:p w:rsidR="005F49A9" w:rsidRDefault="005F49A9" w:rsidP="005F49A9"/>
    <w:p w:rsidR="005F49A9" w:rsidRPr="00116E83" w:rsidRDefault="005F49A9" w:rsidP="005F49A9">
      <w:pPr>
        <w:rPr>
          <w:rFonts w:ascii="Times New Roman" w:hAnsi="Times New Roman"/>
        </w:rPr>
      </w:pPr>
      <w:r w:rsidRPr="00116E83">
        <w:rPr>
          <w:rFonts w:ascii="Times New Roman" w:hAnsi="Times New Roman"/>
        </w:rPr>
        <w:t>Wei-</w:t>
      </w:r>
      <w:proofErr w:type="spellStart"/>
      <w:r w:rsidRPr="00116E83">
        <w:rPr>
          <w:rFonts w:ascii="Times New Roman" w:hAnsi="Times New Roman"/>
        </w:rPr>
        <w:t>Kuo</w:t>
      </w:r>
      <w:proofErr w:type="spellEnd"/>
      <w:r w:rsidRPr="00116E83">
        <w:rPr>
          <w:rFonts w:ascii="Times New Roman" w:hAnsi="Times New Roman"/>
        </w:rPr>
        <w:t xml:space="preserve"> Tao</w:t>
      </w:r>
    </w:p>
    <w:p w:rsidR="005F49A9" w:rsidRPr="00116E83" w:rsidRDefault="005F49A9" w:rsidP="005F49A9">
      <w:pPr>
        <w:rPr>
          <w:rFonts w:ascii="Times New Roman" w:hAnsi="Times New Roman"/>
        </w:rPr>
      </w:pPr>
      <w:r w:rsidRPr="00116E83">
        <w:rPr>
          <w:rFonts w:ascii="Times New Roman" w:hAnsi="Times New Roman"/>
        </w:rPr>
        <w:t>Research Meteorologist</w:t>
      </w:r>
    </w:p>
    <w:p w:rsidR="005F49A9" w:rsidRPr="00116E83" w:rsidRDefault="005F49A9" w:rsidP="005F49A9">
      <w:pPr>
        <w:rPr>
          <w:rFonts w:ascii="Times New Roman" w:hAnsi="Times New Roman"/>
        </w:rPr>
      </w:pPr>
      <w:r w:rsidRPr="00116E83">
        <w:rPr>
          <w:rFonts w:ascii="Times New Roman" w:hAnsi="Times New Roman"/>
        </w:rPr>
        <w:t>301-614-6269</w:t>
      </w:r>
    </w:p>
    <w:p w:rsidR="005F49A9" w:rsidRPr="00116E83" w:rsidRDefault="005F49A9" w:rsidP="005F49A9">
      <w:pPr>
        <w:rPr>
          <w:rFonts w:ascii="Times New Roman" w:hAnsi="Times New Roman"/>
        </w:rPr>
      </w:pPr>
      <w:r w:rsidRPr="00116E83">
        <w:rPr>
          <w:rFonts w:ascii="Times New Roman" w:hAnsi="Times New Roman"/>
        </w:rPr>
        <w:t>Wei-Kuo.Tao-1@nasa.gov</w:t>
      </w:r>
    </w:p>
    <w:p w:rsidR="005F49A9" w:rsidRPr="00116E83" w:rsidRDefault="005F49A9" w:rsidP="005F49A9">
      <w:pPr>
        <w:jc w:val="center"/>
        <w:rPr>
          <w:rFonts w:ascii="Times New Roman" w:hAnsi="Times New Roman"/>
        </w:rPr>
      </w:pPr>
      <w:r w:rsidRPr="00116E83">
        <w:rPr>
          <w:rFonts w:ascii="Times New Roman" w:hAnsi="Times New Roman"/>
        </w:rPr>
        <w:t>M E M O R A N D U M</w:t>
      </w:r>
    </w:p>
    <w:p w:rsidR="005F49A9" w:rsidRPr="00116E83" w:rsidRDefault="005F49A9" w:rsidP="005F49A9">
      <w:pPr>
        <w:rPr>
          <w:rFonts w:ascii="Times New Roman" w:hAnsi="Times New Roman"/>
        </w:rPr>
      </w:pPr>
    </w:p>
    <w:p w:rsidR="005F49A9" w:rsidRPr="00116E83" w:rsidRDefault="00116E83" w:rsidP="005F49A9">
      <w:pPr>
        <w:rPr>
          <w:rFonts w:ascii="Times New Roman" w:hAnsi="Times New Roman"/>
        </w:rPr>
      </w:pPr>
      <w:r>
        <w:rPr>
          <w:rFonts w:ascii="Times New Roman" w:hAnsi="Times New Roman"/>
        </w:rPr>
        <w:t>TO:</w:t>
      </w:r>
      <w:r>
        <w:rPr>
          <w:rFonts w:ascii="Times New Roman" w:hAnsi="Times New Roman"/>
        </w:rPr>
        <w:tab/>
        <w:t xml:space="preserve">Ashley Williamson, DOE </w:t>
      </w:r>
      <w:r w:rsidR="005F49A9" w:rsidRPr="00116E83">
        <w:rPr>
          <w:rFonts w:ascii="Times New Roman" w:hAnsi="Times New Roman"/>
        </w:rPr>
        <w:t>Program Manager</w:t>
      </w:r>
    </w:p>
    <w:p w:rsidR="005F49A9" w:rsidRPr="00116E83" w:rsidRDefault="005F49A9" w:rsidP="005F49A9">
      <w:pPr>
        <w:rPr>
          <w:rFonts w:ascii="Times New Roman" w:hAnsi="Times New Roman"/>
        </w:rPr>
      </w:pPr>
      <w:r w:rsidRPr="00116E83">
        <w:rPr>
          <w:rFonts w:ascii="Times New Roman" w:hAnsi="Times New Roman"/>
        </w:rPr>
        <w:t>RE:</w:t>
      </w:r>
      <w:r w:rsidRPr="00116E83">
        <w:rPr>
          <w:rFonts w:ascii="Times New Roman" w:hAnsi="Times New Roman"/>
        </w:rPr>
        <w:tab/>
        <w:t>Project report</w:t>
      </w:r>
    </w:p>
    <w:p w:rsidR="00116E83" w:rsidRPr="00116E83" w:rsidRDefault="00116E83" w:rsidP="005F49A9">
      <w:pPr>
        <w:rPr>
          <w:rFonts w:ascii="Times New Roman" w:hAnsi="Times New Roman"/>
        </w:rPr>
      </w:pPr>
      <w:r w:rsidRPr="00116E83">
        <w:rPr>
          <w:rFonts w:ascii="Times New Roman" w:hAnsi="Times New Roman"/>
          <w:b/>
        </w:rPr>
        <w:t>Reimbursable Agreement#:</w:t>
      </w:r>
      <w:r w:rsidRPr="00116E83">
        <w:rPr>
          <w:rFonts w:ascii="Times New Roman" w:hAnsi="Times New Roman"/>
        </w:rPr>
        <w:t xml:space="preserve"> DE-AI02-06ER64177</w:t>
      </w:r>
    </w:p>
    <w:p w:rsidR="00116E83" w:rsidRPr="00116E83" w:rsidRDefault="005F49A9" w:rsidP="005F49A9">
      <w:pPr>
        <w:rPr>
          <w:rFonts w:ascii="Times New Roman" w:hAnsi="Times New Roman"/>
        </w:rPr>
      </w:pPr>
      <w:r w:rsidRPr="00116E83">
        <w:rPr>
          <w:rFonts w:ascii="Times New Roman" w:hAnsi="Times New Roman"/>
          <w:b/>
        </w:rPr>
        <w:t>PROJECT TITLE:</w:t>
      </w:r>
      <w:r w:rsidRPr="00116E83">
        <w:rPr>
          <w:rFonts w:ascii="Times New Roman" w:hAnsi="Times New Roman"/>
        </w:rPr>
        <w:t xml:space="preserve"> </w:t>
      </w:r>
      <w:r w:rsidR="00116E83" w:rsidRPr="00116E83">
        <w:rPr>
          <w:rFonts w:ascii="Times New Roman" w:hAnsi="Times New Roman" w:cs="Times New Roman"/>
          <w:szCs w:val="23"/>
        </w:rPr>
        <w:t>Parameterizations of Cloud Microphysics and Indirect Aerosol Effects.</w:t>
      </w:r>
    </w:p>
    <w:p w:rsidR="005F49A9" w:rsidRPr="00116E83" w:rsidRDefault="005F49A9" w:rsidP="005F49A9">
      <w:pPr>
        <w:rPr>
          <w:rFonts w:ascii="Times New Roman" w:hAnsi="Times New Roman"/>
        </w:rPr>
      </w:pPr>
    </w:p>
    <w:p w:rsidR="00977AE2" w:rsidRPr="00977975" w:rsidRDefault="00116E83" w:rsidP="00977AE2">
      <w:pPr>
        <w:pStyle w:val="Heading1"/>
        <w:keepNext w:val="0"/>
        <w:spacing w:before="0" w:after="120"/>
        <w:ind w:left="440" w:hanging="460"/>
        <w:jc w:val="both"/>
        <w:rPr>
          <w:rFonts w:ascii="Times New Roman" w:hAnsi="Times New Roman"/>
          <w:sz w:val="22"/>
          <w:szCs w:val="18"/>
        </w:rPr>
      </w:pPr>
      <w:r w:rsidRPr="00977975">
        <w:rPr>
          <w:rFonts w:ascii="Times New Roman" w:hAnsi="Times New Roman"/>
          <w:sz w:val="22"/>
          <w:szCs w:val="18"/>
        </w:rPr>
        <w:t>1.</w:t>
      </w:r>
      <w:r w:rsidRPr="00977975">
        <w:rPr>
          <w:rFonts w:ascii="Times New Roman" w:hAnsi="Times New Roman"/>
          <w:sz w:val="22"/>
          <w:szCs w:val="18"/>
        </w:rPr>
        <w:tab/>
        <w:t>Overview</w:t>
      </w:r>
    </w:p>
    <w:p w:rsidR="00977AE2" w:rsidRPr="00977975" w:rsidRDefault="00977AE2" w:rsidP="00977AE2">
      <w:pPr>
        <w:ind w:right="-36"/>
        <w:jc w:val="both"/>
        <w:rPr>
          <w:rFonts w:ascii="Times New Roman" w:hAnsi="Times New Roman"/>
          <w:sz w:val="22"/>
        </w:rPr>
      </w:pPr>
      <w:r w:rsidRPr="00977975">
        <w:rPr>
          <w:rFonts w:ascii="Times New Roman" w:hAnsi="Times New Roman"/>
          <w:sz w:val="22"/>
        </w:rPr>
        <w:t>Aerosols and especially their effect on clouds are one of the key components of the climate system and the hydrological cycle [</w:t>
      </w:r>
      <w:proofErr w:type="spellStart"/>
      <w:r w:rsidRPr="00977975">
        <w:rPr>
          <w:rFonts w:ascii="Times New Roman" w:hAnsi="Times New Roman"/>
          <w:sz w:val="22"/>
        </w:rPr>
        <w:t>Ramanathan</w:t>
      </w:r>
      <w:proofErr w:type="spellEnd"/>
      <w:r w:rsidRPr="00977975">
        <w:rPr>
          <w:rFonts w:ascii="Times New Roman" w:hAnsi="Times New Roman"/>
          <w:sz w:val="22"/>
        </w:rPr>
        <w:t xml:space="preserve"> et al., 2001].  Yet, the aerosol effect on clouds remains largely unknown and the processes involved not well understood.  A recent report published by the National Academy of Science states "</w:t>
      </w:r>
      <w:r w:rsidRPr="00977975">
        <w:rPr>
          <w:rFonts w:ascii="Times New Roman" w:hAnsi="Times New Roman"/>
          <w:i/>
          <w:sz w:val="22"/>
        </w:rPr>
        <w:t>The greatest uncertainty about the aerosol climate forcing - indeed, the largest of all the uncertainties about global climate forcing - is probably the indirect effect of aerosols on clouds [NRC, 2001]</w:t>
      </w:r>
      <w:r w:rsidRPr="00977975">
        <w:rPr>
          <w:rFonts w:ascii="Times New Roman" w:hAnsi="Times New Roman"/>
          <w:sz w:val="22"/>
        </w:rPr>
        <w:t xml:space="preserve">."  The aerosol effect on clouds is often categorized into the traditional "first indirect (i.e., </w:t>
      </w:r>
      <w:proofErr w:type="spellStart"/>
      <w:r w:rsidRPr="00977975">
        <w:rPr>
          <w:rFonts w:ascii="Times New Roman" w:hAnsi="Times New Roman"/>
          <w:sz w:val="22"/>
        </w:rPr>
        <w:t>Twomey</w:t>
      </w:r>
      <w:proofErr w:type="spellEnd"/>
      <w:r w:rsidRPr="00977975">
        <w:rPr>
          <w:rFonts w:ascii="Times New Roman" w:hAnsi="Times New Roman"/>
          <w:sz w:val="22"/>
        </w:rPr>
        <w:t>)" effect on the cloud droplet sizes for a constant liquid water path [</w:t>
      </w:r>
      <w:proofErr w:type="spellStart"/>
      <w:r w:rsidRPr="00977975">
        <w:rPr>
          <w:rFonts w:ascii="Times New Roman" w:hAnsi="Times New Roman"/>
          <w:sz w:val="22"/>
        </w:rPr>
        <w:t>Twomey</w:t>
      </w:r>
      <w:proofErr w:type="spellEnd"/>
      <w:r w:rsidRPr="00977975">
        <w:rPr>
          <w:rFonts w:ascii="Times New Roman" w:hAnsi="Times New Roman"/>
          <w:sz w:val="22"/>
        </w:rPr>
        <w:t xml:space="preserve">, 1977] and the "semi-direct" effect on cloud coverage [e.g., Ackerman et al., 2000].  Enhanced aerosol concentrations can also suppress warm rain processes by producing a narrow droplet spectrum that inhibits collision and coalescence processes [e.g., Squires and </w:t>
      </w:r>
      <w:proofErr w:type="spellStart"/>
      <w:r w:rsidRPr="00977975">
        <w:rPr>
          <w:rFonts w:ascii="Times New Roman" w:hAnsi="Times New Roman"/>
          <w:sz w:val="22"/>
        </w:rPr>
        <w:t>Twomey</w:t>
      </w:r>
      <w:proofErr w:type="spellEnd"/>
      <w:r w:rsidRPr="00977975">
        <w:rPr>
          <w:rFonts w:ascii="Times New Roman" w:hAnsi="Times New Roman"/>
          <w:sz w:val="22"/>
        </w:rPr>
        <w:t xml:space="preserve">, 1961; Warner and </w:t>
      </w:r>
      <w:proofErr w:type="spellStart"/>
      <w:r w:rsidRPr="00977975">
        <w:rPr>
          <w:rFonts w:ascii="Times New Roman" w:hAnsi="Times New Roman"/>
          <w:sz w:val="22"/>
        </w:rPr>
        <w:t>Twomey</w:t>
      </w:r>
      <w:proofErr w:type="spellEnd"/>
      <w:r w:rsidRPr="00977975">
        <w:rPr>
          <w:rFonts w:ascii="Times New Roman" w:hAnsi="Times New Roman"/>
          <w:sz w:val="22"/>
        </w:rPr>
        <w:t xml:space="preserve">, 1967; Warner, 1968; Rosenfeld, 1999]. </w:t>
      </w:r>
    </w:p>
    <w:p w:rsidR="00977AE2" w:rsidRPr="00977975" w:rsidRDefault="00977AE2" w:rsidP="00977AE2">
      <w:pPr>
        <w:pStyle w:val="Footnotete"/>
        <w:ind w:right="-360" w:firstLine="720"/>
        <w:rPr>
          <w:rFonts w:ascii="Times New Roman" w:hAnsi="Times New Roman" w:cs="New York"/>
          <w:sz w:val="22"/>
        </w:rPr>
      </w:pPr>
    </w:p>
    <w:p w:rsidR="00195B40" w:rsidRPr="00977975" w:rsidRDefault="00977AE2" w:rsidP="00977AE2">
      <w:pPr>
        <w:pStyle w:val="Footnotete"/>
        <w:ind w:right="-36"/>
        <w:rPr>
          <w:rFonts w:ascii="Times New Roman" w:hAnsi="Times New Roman"/>
          <w:color w:val="000000"/>
          <w:sz w:val="22"/>
        </w:rPr>
      </w:pPr>
      <w:r w:rsidRPr="00977975">
        <w:rPr>
          <w:rFonts w:ascii="Times New Roman" w:hAnsi="Times New Roman"/>
          <w:sz w:val="22"/>
        </w:rPr>
        <w:t xml:space="preserve">The aerosol effect on precipitation processes, also known as the second type of aerosol indirect effect [Albrecht, 1989], is even more complex, especially for mixed-phase convective clouds. Table 1 summarizes the key observational studies identifying the microphysical properties, cloud characteristics, thermodynamics and dynamics associated with cloud systems from high-aerosol continental environments. For example, atmospheric aerosol concentrations can influence cloud droplet size distributions, warm-rain process, cold-rain process, cloud-top height, the depth of the mixed phase region, and occurrence of lightning. </w:t>
      </w:r>
      <w:r w:rsidRPr="00977975">
        <w:rPr>
          <w:rFonts w:ascii="Times New Roman" w:hAnsi="Times New Roman"/>
          <w:color w:val="000000"/>
          <w:sz w:val="22"/>
          <w:lang w:eastAsia="ja-JP"/>
        </w:rPr>
        <w:t xml:space="preserve">In addition, </w:t>
      </w:r>
      <w:r w:rsidRPr="00977975">
        <w:rPr>
          <w:rFonts w:ascii="Times New Roman" w:hAnsi="Times New Roman"/>
          <w:color w:val="000000"/>
          <w:sz w:val="22"/>
        </w:rPr>
        <w:t>high aerosol concentrations in urban environments could affect precipitation variability by providing an enhanced source of cloud condensation nuclei (CCN). Hypotheses have been developed to explain the effect of urban regions on convection and precipitation [</w:t>
      </w:r>
      <w:r w:rsidRPr="00977975">
        <w:rPr>
          <w:rFonts w:ascii="Times New Roman" w:hAnsi="Times New Roman"/>
          <w:i/>
          <w:color w:val="000000"/>
          <w:sz w:val="22"/>
        </w:rPr>
        <w:t xml:space="preserve">van den </w:t>
      </w:r>
      <w:proofErr w:type="spellStart"/>
      <w:r w:rsidRPr="00977975">
        <w:rPr>
          <w:rFonts w:ascii="Times New Roman" w:hAnsi="Times New Roman"/>
          <w:i/>
          <w:color w:val="000000"/>
          <w:sz w:val="22"/>
        </w:rPr>
        <w:t>Heever</w:t>
      </w:r>
      <w:proofErr w:type="spellEnd"/>
      <w:r w:rsidRPr="00977975">
        <w:rPr>
          <w:rFonts w:ascii="Times New Roman" w:hAnsi="Times New Roman"/>
          <w:i/>
          <w:color w:val="000000"/>
          <w:sz w:val="22"/>
        </w:rPr>
        <w:t xml:space="preserve"> and Cotton</w:t>
      </w:r>
      <w:r w:rsidRPr="00977975">
        <w:rPr>
          <w:rFonts w:ascii="Times New Roman" w:hAnsi="Times New Roman"/>
          <w:color w:val="000000"/>
          <w:sz w:val="22"/>
        </w:rPr>
        <w:t>, 2007 and S</w:t>
      </w:r>
      <w:r w:rsidRPr="00977975">
        <w:rPr>
          <w:rFonts w:ascii="Times New Roman" w:hAnsi="Times New Roman"/>
          <w:i/>
          <w:color w:val="000000"/>
          <w:sz w:val="22"/>
        </w:rPr>
        <w:t>hepherd</w:t>
      </w:r>
      <w:r w:rsidRPr="00977975">
        <w:rPr>
          <w:rFonts w:ascii="Times New Roman" w:hAnsi="Times New Roman"/>
          <w:color w:val="000000"/>
          <w:sz w:val="22"/>
        </w:rPr>
        <w:t xml:space="preserve">, 2005]. </w:t>
      </w:r>
    </w:p>
    <w:p w:rsidR="00195B40" w:rsidRPr="00977975" w:rsidRDefault="00195B40" w:rsidP="00195B40">
      <w:pPr>
        <w:pStyle w:val="BodyText2"/>
        <w:rPr>
          <w:rFonts w:ascii="Times New Roman" w:hAnsi="Times New Roman"/>
          <w:sz w:val="22"/>
        </w:rPr>
      </w:pPr>
      <w:r w:rsidRPr="00977975">
        <w:rPr>
          <w:rFonts w:ascii="Times New Roman" w:hAnsi="Times New Roman"/>
          <w:sz w:val="22"/>
        </w:rPr>
        <w:t xml:space="preserve">Recently, a detailed spectral-bin microphysical scheme was implemented into the Goddard Cumulus Ensemble (GCE) model. Atmospheric aerosols are also described using number density size-distribution functions.  A spectral-bin microphysical model is very expensive from a computational point of view and has only been implemented into the 2D version of the GCE at the present time.  The model is tested by studying the evolution of deep tropical clouds in the west Pacific warm pool region and summertime convection over a mid-latitude continent with different concentrations of CCN: a low "clean" concentration and a high "dirty" concentration. The impact of atmospheric aerosol concentration on cloud and precipitation will be investigated. </w:t>
      </w:r>
    </w:p>
    <w:p w:rsidR="00195B40" w:rsidRDefault="00195B40" w:rsidP="00977AE2">
      <w:pPr>
        <w:pStyle w:val="Footnotete"/>
        <w:ind w:right="-36"/>
        <w:rPr>
          <w:rFonts w:ascii="Times New Roman" w:hAnsi="Times New Roman"/>
          <w:sz w:val="24"/>
        </w:rPr>
      </w:pPr>
    </w:p>
    <w:p w:rsidR="00195B40" w:rsidRPr="00977975" w:rsidRDefault="00195B40" w:rsidP="00977975">
      <w:pPr>
        <w:pStyle w:val="BodyText2"/>
        <w:tabs>
          <w:tab w:val="left" w:pos="720"/>
        </w:tabs>
        <w:rPr>
          <w:rFonts w:ascii="Times New Roman" w:hAnsi="Times New Roman"/>
          <w:b/>
          <w:sz w:val="22"/>
        </w:rPr>
      </w:pPr>
      <w:r w:rsidRPr="00977975">
        <w:rPr>
          <w:rFonts w:ascii="Times New Roman" w:hAnsi="Times New Roman"/>
          <w:sz w:val="22"/>
        </w:rPr>
        <w:t>2.</w:t>
      </w:r>
      <w:r w:rsidRPr="00977975">
        <w:rPr>
          <w:rFonts w:ascii="Times New Roman" w:hAnsi="Times New Roman"/>
          <w:sz w:val="22"/>
        </w:rPr>
        <w:tab/>
      </w:r>
      <w:r w:rsidRPr="00977975">
        <w:rPr>
          <w:rFonts w:ascii="Times New Roman" w:hAnsi="Times New Roman"/>
          <w:b/>
          <w:sz w:val="22"/>
        </w:rPr>
        <w:t>MODEL DESCRIPTION AND CASE STUDIES</w:t>
      </w:r>
    </w:p>
    <w:p w:rsidR="00195B40" w:rsidRPr="00977975" w:rsidRDefault="00195B40" w:rsidP="00195B40">
      <w:pPr>
        <w:pStyle w:val="BodyText2"/>
        <w:rPr>
          <w:rFonts w:ascii="Times New Roman" w:hAnsi="Times New Roman"/>
          <w:b/>
          <w:sz w:val="22"/>
        </w:rPr>
      </w:pPr>
    </w:p>
    <w:p w:rsidR="00195B40" w:rsidRPr="00977975" w:rsidRDefault="00195B40" w:rsidP="00977975">
      <w:pPr>
        <w:pStyle w:val="Heading1"/>
        <w:keepNext w:val="0"/>
        <w:spacing w:before="0" w:after="120"/>
        <w:ind w:hanging="720"/>
        <w:jc w:val="both"/>
        <w:rPr>
          <w:rFonts w:ascii="Times New Roman" w:hAnsi="Times New Roman"/>
          <w:sz w:val="22"/>
          <w:u w:val="single"/>
        </w:rPr>
      </w:pPr>
      <w:r w:rsidRPr="00977975">
        <w:rPr>
          <w:rFonts w:ascii="Times New Roman" w:hAnsi="Times New Roman"/>
          <w:sz w:val="22"/>
          <w:u w:val="single"/>
        </w:rPr>
        <w:t xml:space="preserve">2.1  </w:t>
      </w:r>
      <w:r w:rsidR="00977975">
        <w:rPr>
          <w:rFonts w:ascii="Times New Roman" w:hAnsi="Times New Roman"/>
          <w:sz w:val="22"/>
          <w:u w:val="single"/>
        </w:rPr>
        <w:tab/>
      </w:r>
      <w:r w:rsidRPr="00977975">
        <w:rPr>
          <w:rFonts w:ascii="Times New Roman" w:hAnsi="Times New Roman"/>
          <w:sz w:val="22"/>
          <w:u w:val="single"/>
        </w:rPr>
        <w:t>GCE Model</w:t>
      </w:r>
    </w:p>
    <w:p w:rsidR="00977975" w:rsidRDefault="00977975" w:rsidP="00195B40">
      <w:pPr>
        <w:pStyle w:val="BodyText2"/>
        <w:rPr>
          <w:rFonts w:ascii="Times New Roman" w:hAnsi="Times New Roman"/>
          <w:sz w:val="22"/>
        </w:rPr>
      </w:pPr>
    </w:p>
    <w:p w:rsidR="00195B40" w:rsidRPr="00977975" w:rsidRDefault="00195B40" w:rsidP="00195B40">
      <w:pPr>
        <w:pStyle w:val="BodyText2"/>
        <w:rPr>
          <w:rFonts w:ascii="Times New Roman" w:hAnsi="Times New Roman"/>
          <w:sz w:val="22"/>
        </w:rPr>
      </w:pPr>
      <w:r w:rsidRPr="00977975">
        <w:rPr>
          <w:rFonts w:ascii="Times New Roman" w:hAnsi="Times New Roman"/>
          <w:sz w:val="22"/>
        </w:rPr>
        <w:t xml:space="preserve">The model used in this study is the 2D version of the GCE model.  Modeled flow is </w:t>
      </w:r>
      <w:proofErr w:type="spellStart"/>
      <w:r w:rsidRPr="00977975">
        <w:rPr>
          <w:rFonts w:ascii="Times New Roman" w:hAnsi="Times New Roman"/>
          <w:sz w:val="22"/>
        </w:rPr>
        <w:t>anelastic</w:t>
      </w:r>
      <w:proofErr w:type="spellEnd"/>
      <w:r w:rsidRPr="00977975">
        <w:rPr>
          <w:rFonts w:ascii="Times New Roman" w:hAnsi="Times New Roman"/>
          <w:sz w:val="22"/>
        </w:rPr>
        <w:t xml:space="preserve">. Second- or higher-order advection schemes can produce negative values in the solution.  Thus, a Multi-dimensional Positive Definite Advection Transport Algorithm (MPDATA) has been implemented into the model.  All scalar variables (potential temperature, water vapor, turbulent coefficient and all five hydrometeor classes) use forward time differencing and the MPDATA for advection.  Dynamic variables, u, v and w, use a second-order accurate advection scheme and </w:t>
      </w:r>
      <w:proofErr w:type="gramStart"/>
      <w:r w:rsidRPr="00977975">
        <w:rPr>
          <w:rFonts w:ascii="Times New Roman" w:hAnsi="Times New Roman"/>
          <w:sz w:val="22"/>
        </w:rPr>
        <w:t>a leapfrog time integration</w:t>
      </w:r>
      <w:proofErr w:type="gramEnd"/>
      <w:r w:rsidRPr="00977975">
        <w:rPr>
          <w:rFonts w:ascii="Times New Roman" w:hAnsi="Times New Roman"/>
          <w:sz w:val="22"/>
        </w:rPr>
        <w:t xml:space="preserve"> (kinetic energy semi-conserving method). Short-wave (solar) and long-wave radiation as well as a </w:t>
      </w:r>
      <w:proofErr w:type="spellStart"/>
      <w:r w:rsidRPr="00977975">
        <w:rPr>
          <w:rFonts w:ascii="Times New Roman" w:hAnsi="Times New Roman"/>
          <w:sz w:val="22"/>
        </w:rPr>
        <w:t>subgrid</w:t>
      </w:r>
      <w:proofErr w:type="spellEnd"/>
      <w:r w:rsidRPr="00977975">
        <w:rPr>
          <w:rFonts w:ascii="Times New Roman" w:hAnsi="Times New Roman"/>
          <w:sz w:val="22"/>
        </w:rPr>
        <w:t xml:space="preserve">-scale TKE turbulence scheme </w:t>
      </w:r>
      <w:proofErr w:type="gramStart"/>
      <w:r w:rsidRPr="00977975">
        <w:rPr>
          <w:rFonts w:ascii="Times New Roman" w:hAnsi="Times New Roman"/>
          <w:sz w:val="22"/>
        </w:rPr>
        <w:t>are</w:t>
      </w:r>
      <w:proofErr w:type="gramEnd"/>
      <w:r w:rsidRPr="00977975">
        <w:rPr>
          <w:rFonts w:ascii="Times New Roman" w:hAnsi="Times New Roman"/>
          <w:sz w:val="22"/>
        </w:rPr>
        <w:t xml:space="preserve"> also included in the model.  Details of the model can be found in Tao and Simpson (1993) and Tao </w:t>
      </w:r>
      <w:r w:rsidRPr="00977975">
        <w:rPr>
          <w:rFonts w:ascii="Times New Roman" w:hAnsi="Times New Roman"/>
          <w:i/>
          <w:sz w:val="22"/>
        </w:rPr>
        <w:t>et al.</w:t>
      </w:r>
      <w:r w:rsidRPr="00977975">
        <w:rPr>
          <w:rFonts w:ascii="Times New Roman" w:hAnsi="Times New Roman"/>
          <w:sz w:val="22"/>
        </w:rPr>
        <w:t xml:space="preserve"> (2003).</w:t>
      </w:r>
    </w:p>
    <w:p w:rsidR="00195B40" w:rsidRPr="00977975" w:rsidRDefault="00195B40" w:rsidP="00195B40">
      <w:pPr>
        <w:jc w:val="both"/>
        <w:rPr>
          <w:rFonts w:ascii="Times New Roman" w:hAnsi="Times New Roman"/>
          <w:sz w:val="22"/>
          <w:szCs w:val="18"/>
        </w:rPr>
      </w:pPr>
    </w:p>
    <w:p w:rsidR="00195B40" w:rsidRPr="00977975" w:rsidRDefault="00195B40" w:rsidP="00977975">
      <w:pPr>
        <w:tabs>
          <w:tab w:val="left" w:pos="720"/>
        </w:tabs>
        <w:ind w:right="-360"/>
        <w:jc w:val="both"/>
        <w:rPr>
          <w:rFonts w:ascii="Times New Roman" w:hAnsi="Times New Roman"/>
          <w:sz w:val="22"/>
        </w:rPr>
      </w:pPr>
      <w:r w:rsidRPr="00977975">
        <w:rPr>
          <w:rFonts w:ascii="Times New Roman" w:hAnsi="Times New Roman"/>
          <w:b/>
          <w:sz w:val="22"/>
          <w:szCs w:val="18"/>
          <w:u w:val="single"/>
        </w:rPr>
        <w:t xml:space="preserve">2.2  </w:t>
      </w:r>
      <w:r w:rsidR="00977975">
        <w:rPr>
          <w:rFonts w:ascii="Times New Roman" w:hAnsi="Times New Roman"/>
          <w:b/>
          <w:sz w:val="22"/>
          <w:szCs w:val="18"/>
          <w:u w:val="single"/>
        </w:rPr>
        <w:tab/>
      </w:r>
      <w:r w:rsidRPr="00977975">
        <w:rPr>
          <w:rFonts w:ascii="Times New Roman" w:hAnsi="Times New Roman"/>
          <w:b/>
          <w:sz w:val="22"/>
          <w:szCs w:val="18"/>
          <w:u w:val="single"/>
        </w:rPr>
        <w:t>Microphysics (Bin Model)</w:t>
      </w:r>
    </w:p>
    <w:p w:rsidR="00195B40" w:rsidRPr="00977975" w:rsidRDefault="00195B40" w:rsidP="00195B40">
      <w:pPr>
        <w:ind w:right="-360"/>
        <w:jc w:val="both"/>
        <w:rPr>
          <w:rFonts w:ascii="Times New Roman" w:hAnsi="Times New Roman"/>
          <w:sz w:val="22"/>
          <w:szCs w:val="18"/>
        </w:rPr>
      </w:pPr>
    </w:p>
    <w:p w:rsidR="00195B40" w:rsidRPr="00977975" w:rsidRDefault="00195B40" w:rsidP="00195B40">
      <w:pPr>
        <w:pStyle w:val="BodyText2"/>
        <w:rPr>
          <w:rFonts w:ascii="Times New Roman" w:hAnsi="Times New Roman"/>
          <w:sz w:val="22"/>
        </w:rPr>
      </w:pPr>
      <w:r w:rsidRPr="00977975">
        <w:rPr>
          <w:rFonts w:ascii="Times New Roman" w:hAnsi="Times New Roman"/>
          <w:sz w:val="22"/>
        </w:rPr>
        <w:t xml:space="preserve">The formulation of the explicit spectral-bin microphysical processes is based on solving stochastic kinetic equations for the size distribution functions of water droplets (cloud droplets and raindrops), and six types of ice particles: pristine ice crystals (columnar and plate-like), snow (dendrites and aggregates), </w:t>
      </w:r>
      <w:proofErr w:type="spellStart"/>
      <w:r w:rsidRPr="00977975">
        <w:rPr>
          <w:rFonts w:ascii="Times New Roman" w:hAnsi="Times New Roman"/>
          <w:sz w:val="22"/>
        </w:rPr>
        <w:t>graupel</w:t>
      </w:r>
      <w:proofErr w:type="spellEnd"/>
      <w:r w:rsidRPr="00977975">
        <w:rPr>
          <w:rFonts w:ascii="Times New Roman" w:hAnsi="Times New Roman"/>
          <w:sz w:val="22"/>
        </w:rPr>
        <w:t xml:space="preserve"> and frozen drops/hail.  Each type is described by a special size distribution function containing 33 categories (bins). Atmospheric aerosols are also described using number density size-distribution functions (containing 33 bins). Droplet nucleation (activation) is derived from the analytical calculation of super-saturation, which is used to determine the sizes of aerosol particles to be activated and the corresponding sizes of nucleated droplets.  Primary nucleation of each type of ice crystal takes place within certain temperature ranges. A detailed description of these explicitly parameterized processes can be found in </w:t>
      </w:r>
      <w:proofErr w:type="spellStart"/>
      <w:r w:rsidRPr="00977975">
        <w:rPr>
          <w:rFonts w:ascii="Times New Roman" w:hAnsi="Times New Roman"/>
          <w:sz w:val="22"/>
        </w:rPr>
        <w:t>Khain</w:t>
      </w:r>
      <w:proofErr w:type="spellEnd"/>
      <w:r w:rsidRPr="00977975">
        <w:rPr>
          <w:rFonts w:ascii="Times New Roman" w:hAnsi="Times New Roman"/>
          <w:sz w:val="22"/>
        </w:rPr>
        <w:t xml:space="preserve"> and </w:t>
      </w:r>
      <w:proofErr w:type="spellStart"/>
      <w:r w:rsidRPr="00977975">
        <w:rPr>
          <w:rFonts w:ascii="Times New Roman" w:hAnsi="Times New Roman"/>
          <w:sz w:val="22"/>
        </w:rPr>
        <w:t>Sednev</w:t>
      </w:r>
      <w:proofErr w:type="spellEnd"/>
      <w:r w:rsidRPr="00977975">
        <w:rPr>
          <w:rFonts w:ascii="Times New Roman" w:hAnsi="Times New Roman"/>
          <w:sz w:val="22"/>
        </w:rPr>
        <w:t xml:space="preserve"> (1996) and </w:t>
      </w:r>
      <w:proofErr w:type="spellStart"/>
      <w:r w:rsidRPr="00977975">
        <w:rPr>
          <w:rFonts w:ascii="Times New Roman" w:hAnsi="Times New Roman"/>
          <w:sz w:val="22"/>
        </w:rPr>
        <w:t>Khain</w:t>
      </w:r>
      <w:proofErr w:type="spellEnd"/>
      <w:r w:rsidRPr="00977975">
        <w:rPr>
          <w:rFonts w:ascii="Times New Roman" w:hAnsi="Times New Roman"/>
          <w:i/>
          <w:sz w:val="22"/>
        </w:rPr>
        <w:t xml:space="preserve"> et al.</w:t>
      </w:r>
      <w:r w:rsidRPr="00977975">
        <w:rPr>
          <w:rFonts w:ascii="Times New Roman" w:hAnsi="Times New Roman"/>
          <w:sz w:val="22"/>
        </w:rPr>
        <w:t xml:space="preserve"> (1999, 2001).</w:t>
      </w:r>
    </w:p>
    <w:p w:rsidR="00195B40" w:rsidRPr="00977975" w:rsidRDefault="00195B40" w:rsidP="00195B40">
      <w:pPr>
        <w:pStyle w:val="BodyText2"/>
        <w:rPr>
          <w:rFonts w:ascii="Times New Roman" w:hAnsi="Times New Roman"/>
          <w:sz w:val="22"/>
        </w:rPr>
      </w:pPr>
    </w:p>
    <w:p w:rsidR="00195B40" w:rsidRPr="00977975" w:rsidRDefault="00195B40" w:rsidP="00195B40">
      <w:pPr>
        <w:pStyle w:val="BodyText2"/>
        <w:rPr>
          <w:rFonts w:ascii="Times New Roman" w:hAnsi="Times New Roman"/>
          <w:b/>
          <w:sz w:val="22"/>
          <w:u w:val="single"/>
        </w:rPr>
      </w:pPr>
      <w:r w:rsidRPr="00977975">
        <w:rPr>
          <w:rFonts w:ascii="Times New Roman" w:hAnsi="Times New Roman"/>
          <w:b/>
          <w:sz w:val="22"/>
          <w:u w:val="single"/>
        </w:rPr>
        <w:t xml:space="preserve">2.3 </w:t>
      </w:r>
      <w:r w:rsidR="00977975">
        <w:rPr>
          <w:rFonts w:ascii="Times New Roman" w:hAnsi="Times New Roman"/>
          <w:b/>
          <w:sz w:val="22"/>
          <w:u w:val="single"/>
        </w:rPr>
        <w:tab/>
      </w:r>
      <w:r w:rsidRPr="00977975">
        <w:rPr>
          <w:rFonts w:ascii="Times New Roman" w:hAnsi="Times New Roman"/>
          <w:b/>
          <w:sz w:val="22"/>
          <w:u w:val="single"/>
        </w:rPr>
        <w:t>Case Studies</w:t>
      </w:r>
    </w:p>
    <w:p w:rsidR="00195B40" w:rsidRPr="00977975" w:rsidRDefault="00195B40" w:rsidP="00195B40">
      <w:pPr>
        <w:pStyle w:val="BodyText2"/>
        <w:rPr>
          <w:rFonts w:ascii="Times New Roman" w:hAnsi="Times New Roman"/>
          <w:sz w:val="22"/>
        </w:rPr>
      </w:pPr>
    </w:p>
    <w:p w:rsidR="00195B40" w:rsidRPr="00977975" w:rsidRDefault="00195B40" w:rsidP="00195B40">
      <w:pPr>
        <w:pStyle w:val="BodyText2"/>
        <w:rPr>
          <w:rFonts w:ascii="Times New Roman" w:hAnsi="Times New Roman"/>
          <w:sz w:val="22"/>
        </w:rPr>
      </w:pPr>
      <w:r w:rsidRPr="00977975">
        <w:rPr>
          <w:rFonts w:ascii="Times New Roman" w:hAnsi="Times New Roman"/>
          <w:sz w:val="22"/>
        </w:rPr>
        <w:t xml:space="preserve">Three cases, a tropical oceanic squall system observed during TOGA COARE </w:t>
      </w:r>
      <w:r w:rsidRPr="00977975">
        <w:rPr>
          <w:rFonts w:ascii="Times New Roman" w:hAnsi="Times New Roman"/>
          <w:i/>
          <w:sz w:val="22"/>
        </w:rPr>
        <w:t xml:space="preserve">(Tropical Ocean and Global Atmosphere Coupled Ocean-Atmosphere Response Experiment, </w:t>
      </w:r>
      <w:r w:rsidRPr="00977975">
        <w:rPr>
          <w:rFonts w:ascii="Times New Roman" w:hAnsi="Times New Roman"/>
          <w:sz w:val="22"/>
        </w:rPr>
        <w:t xml:space="preserve">which occurred over the Pacific Ocean warm pool from November 1992 to February 1993), a </w:t>
      </w:r>
      <w:proofErr w:type="spellStart"/>
      <w:r w:rsidRPr="00977975">
        <w:rPr>
          <w:rFonts w:ascii="Times New Roman" w:hAnsi="Times New Roman"/>
          <w:sz w:val="22"/>
        </w:rPr>
        <w:t>midlatitude</w:t>
      </w:r>
      <w:proofErr w:type="spellEnd"/>
      <w:r w:rsidRPr="00977975">
        <w:rPr>
          <w:rFonts w:ascii="Times New Roman" w:hAnsi="Times New Roman"/>
          <w:sz w:val="22"/>
        </w:rPr>
        <w:t xml:space="preserve"> continental squall system observed during PRESTORM</w:t>
      </w:r>
      <w:r w:rsidRPr="00977975">
        <w:rPr>
          <w:rStyle w:val="FootnoteReference"/>
          <w:rFonts w:ascii="Times New Roman" w:hAnsi="Times New Roman"/>
          <w:sz w:val="22"/>
        </w:rPr>
        <w:t xml:space="preserve"> </w:t>
      </w:r>
      <w:r w:rsidRPr="00977975">
        <w:rPr>
          <w:rFonts w:ascii="Times New Roman" w:hAnsi="Times New Roman"/>
          <w:sz w:val="22"/>
        </w:rPr>
        <w:t>(</w:t>
      </w:r>
      <w:r w:rsidRPr="00977975">
        <w:rPr>
          <w:rFonts w:ascii="Times New Roman" w:hAnsi="Times New Roman"/>
          <w:i/>
          <w:sz w:val="22"/>
        </w:rPr>
        <w:t>Preliminary Regional Experiment for STORM-Central,</w:t>
      </w:r>
      <w:r w:rsidRPr="00977975">
        <w:rPr>
          <w:rFonts w:ascii="Times New Roman" w:hAnsi="Times New Roman"/>
          <w:sz w:val="22"/>
        </w:rPr>
        <w:t xml:space="preserve"> which occurred in Kansas and Oklahoma during May-June 1985), and mid-afternoon convection observed during CRYSTAL-FACE</w:t>
      </w:r>
      <w:r w:rsidRPr="00977975">
        <w:rPr>
          <w:rStyle w:val="FootnoteReference"/>
          <w:rFonts w:ascii="Times New Roman" w:hAnsi="Times New Roman"/>
          <w:sz w:val="22"/>
        </w:rPr>
        <w:t xml:space="preserve"> </w:t>
      </w:r>
      <w:r w:rsidRPr="00977975">
        <w:rPr>
          <w:rFonts w:ascii="Times New Roman" w:hAnsi="Times New Roman"/>
          <w:sz w:val="22"/>
        </w:rPr>
        <w:t>(</w:t>
      </w:r>
      <w:bookmarkStart w:id="0" w:name="OLE_LINK7"/>
      <w:bookmarkStart w:id="1" w:name="OLE_LINK8"/>
      <w:r w:rsidRPr="00977975">
        <w:rPr>
          <w:rFonts w:ascii="Times New Roman" w:hAnsi="Times New Roman"/>
          <w:sz w:val="22"/>
        </w:rPr>
        <w:t>Cirrus Regional Study of Tropical Anvils and Cirrus Layers – Florida Area Cumulus Experiment</w:t>
      </w:r>
      <w:bookmarkEnd w:id="0"/>
      <w:bookmarkEnd w:id="1"/>
      <w:r w:rsidRPr="00977975">
        <w:rPr>
          <w:rFonts w:ascii="Times New Roman" w:hAnsi="Times New Roman"/>
          <w:sz w:val="22"/>
        </w:rPr>
        <w:t>, which occurred in Florida during July 2002), will be used to examine the impact of aerosols on deep, precipitating systems.</w:t>
      </w:r>
    </w:p>
    <w:p w:rsidR="00195B40" w:rsidRPr="00977975" w:rsidRDefault="00195B40" w:rsidP="00195B40">
      <w:pPr>
        <w:pStyle w:val="BodyText2"/>
        <w:rPr>
          <w:rFonts w:ascii="Times New Roman" w:hAnsi="Times New Roman"/>
          <w:sz w:val="22"/>
        </w:rPr>
      </w:pPr>
    </w:p>
    <w:p w:rsidR="00A56AE6" w:rsidRDefault="00A56AE6" w:rsidP="00A56AE6">
      <w:pPr>
        <w:tabs>
          <w:tab w:val="left" w:pos="360"/>
        </w:tabs>
        <w:spacing w:line="360" w:lineRule="auto"/>
        <w:ind w:right="-360"/>
        <w:jc w:val="both"/>
        <w:rPr>
          <w:rFonts w:ascii="Times New Roman" w:hAnsi="Times New Roman"/>
          <w:b/>
          <w:color w:val="000000"/>
          <w:sz w:val="22"/>
        </w:rPr>
      </w:pPr>
      <w:r>
        <w:rPr>
          <w:rFonts w:ascii="Times New Roman" w:hAnsi="Times New Roman"/>
          <w:b/>
          <w:color w:val="000000"/>
          <w:sz w:val="22"/>
        </w:rPr>
        <w:t>3</w:t>
      </w:r>
      <w:r w:rsidRPr="00A56AE6">
        <w:rPr>
          <w:rFonts w:ascii="Times New Roman" w:hAnsi="Times New Roman"/>
          <w:b/>
          <w:color w:val="000000"/>
          <w:sz w:val="22"/>
        </w:rPr>
        <w:t xml:space="preserve">.     </w:t>
      </w:r>
      <w:r w:rsidRPr="00A56AE6">
        <w:rPr>
          <w:rFonts w:ascii="Times New Roman" w:hAnsi="Times New Roman"/>
          <w:b/>
          <w:color w:val="000000"/>
          <w:sz w:val="22"/>
        </w:rPr>
        <w:tab/>
        <w:t>SUMMARY</w:t>
      </w:r>
      <w:r>
        <w:rPr>
          <w:rFonts w:ascii="Times New Roman" w:hAnsi="Times New Roman"/>
          <w:b/>
          <w:color w:val="000000"/>
          <w:sz w:val="22"/>
        </w:rPr>
        <w:t xml:space="preserve"> of RESULTS</w:t>
      </w:r>
    </w:p>
    <w:p w:rsidR="00A56AE6" w:rsidRPr="00A56AE6" w:rsidRDefault="00A56AE6" w:rsidP="002570DD">
      <w:pPr>
        <w:tabs>
          <w:tab w:val="left" w:pos="360"/>
        </w:tabs>
        <w:ind w:right="-360"/>
        <w:jc w:val="both"/>
        <w:rPr>
          <w:rFonts w:ascii="Times New Roman" w:hAnsi="Times New Roman"/>
          <w:b/>
          <w:color w:val="000000"/>
          <w:sz w:val="22"/>
        </w:rPr>
      </w:pPr>
    </w:p>
    <w:p w:rsidR="00A56AE6" w:rsidRPr="00A56AE6" w:rsidRDefault="00A56AE6" w:rsidP="00A56AE6">
      <w:pPr>
        <w:numPr>
          <w:ilvl w:val="0"/>
          <w:numId w:val="1"/>
        </w:numPr>
        <w:tabs>
          <w:tab w:val="clear" w:pos="1080"/>
        </w:tabs>
        <w:ind w:left="360" w:right="-36" w:hanging="360"/>
        <w:jc w:val="both"/>
        <w:rPr>
          <w:rFonts w:ascii="Times New Roman" w:hAnsi="Times New Roman"/>
          <w:color w:val="000000"/>
          <w:sz w:val="22"/>
        </w:rPr>
      </w:pPr>
      <w:r w:rsidRPr="00A56AE6">
        <w:rPr>
          <w:rFonts w:ascii="Times New Roman" w:hAnsi="Times New Roman"/>
          <w:sz w:val="22"/>
        </w:rPr>
        <w:t xml:space="preserve">For all three cases, higher CCN produces smaller cloud droplets </w:t>
      </w:r>
      <w:r w:rsidRPr="00A56AE6">
        <w:rPr>
          <w:rFonts w:ascii="Times New Roman" w:hAnsi="Times New Roman"/>
          <w:color w:val="000000"/>
          <w:sz w:val="22"/>
        </w:rPr>
        <w:t>and</w:t>
      </w:r>
      <w:r w:rsidRPr="00A56AE6">
        <w:rPr>
          <w:rFonts w:ascii="Times New Roman" w:hAnsi="Times New Roman"/>
          <w:sz w:val="22"/>
        </w:rPr>
        <w:t xml:space="preserve"> a narrower spectrum.  Dirty conditions delay rain formation, increase latent heat release above the freezing level, and enhance vertical velocities at higher altitude for all cases.  Stronger updrafts, deeper mixed-phase regions, and more ice particles are simulated with higher CCN in good agreement with observations.</w:t>
      </w:r>
    </w:p>
    <w:p w:rsidR="00A56AE6" w:rsidRPr="00A56AE6" w:rsidRDefault="00A56AE6" w:rsidP="00A56AE6">
      <w:pPr>
        <w:numPr>
          <w:ilvl w:val="0"/>
          <w:numId w:val="1"/>
        </w:numPr>
        <w:tabs>
          <w:tab w:val="clear" w:pos="1080"/>
        </w:tabs>
        <w:ind w:left="360" w:right="-36" w:hanging="360"/>
        <w:jc w:val="both"/>
        <w:rPr>
          <w:rFonts w:ascii="Times New Roman" w:hAnsi="Times New Roman"/>
          <w:color w:val="000000"/>
          <w:sz w:val="22"/>
        </w:rPr>
      </w:pPr>
      <w:r w:rsidRPr="00A56AE6">
        <w:rPr>
          <w:rFonts w:ascii="Times New Roman" w:hAnsi="Times New Roman"/>
          <w:sz w:val="22"/>
        </w:rPr>
        <w:t>In all cases</w:t>
      </w:r>
      <w:r w:rsidRPr="00A56AE6">
        <w:rPr>
          <w:rFonts w:ascii="Times New Roman" w:hAnsi="Times New Roman"/>
          <w:color w:val="000000"/>
          <w:sz w:val="22"/>
        </w:rPr>
        <w:t xml:space="preserve">, </w:t>
      </w:r>
      <w:r w:rsidRPr="00A56AE6">
        <w:rPr>
          <w:rFonts w:ascii="Times New Roman" w:hAnsi="Times New Roman"/>
          <w:sz w:val="22"/>
        </w:rPr>
        <w:t xml:space="preserve">rain reaches the ground early with lower CCN.  Rain suppression is also evident in all three cases with high CCN in good agreement with observations </w:t>
      </w:r>
      <w:r w:rsidRPr="00A56AE6">
        <w:rPr>
          <w:rFonts w:ascii="Times New Roman" w:hAnsi="Times New Roman"/>
          <w:i/>
          <w:sz w:val="22"/>
        </w:rPr>
        <w:t>(Rosenfeld,</w:t>
      </w:r>
      <w:r w:rsidRPr="00A56AE6">
        <w:rPr>
          <w:rFonts w:ascii="Times New Roman" w:hAnsi="Times New Roman"/>
          <w:sz w:val="22"/>
        </w:rPr>
        <w:t xml:space="preserve"> 1999, 2000 and others).  Rain suppression, however, only occurs during the first hour of simulation.  </w:t>
      </w:r>
      <w:r w:rsidRPr="00A56AE6">
        <w:rPr>
          <w:rFonts w:ascii="Times New Roman" w:hAnsi="Times New Roman"/>
          <w:color w:val="000000"/>
          <w:sz w:val="22"/>
        </w:rPr>
        <w:t>This result suggests that microphysical processes dominate the impact of aerosols on precipitation in the early stage of precipitation development.</w:t>
      </w:r>
    </w:p>
    <w:p w:rsidR="00A56AE6" w:rsidRPr="00A56AE6" w:rsidRDefault="00A56AE6" w:rsidP="00A56AE6">
      <w:pPr>
        <w:numPr>
          <w:ilvl w:val="0"/>
          <w:numId w:val="1"/>
        </w:numPr>
        <w:tabs>
          <w:tab w:val="clear" w:pos="1080"/>
        </w:tabs>
        <w:ind w:left="360" w:right="-36" w:hanging="360"/>
        <w:jc w:val="both"/>
        <w:rPr>
          <w:rFonts w:ascii="Times New Roman" w:hAnsi="Times New Roman"/>
          <w:color w:val="000000"/>
          <w:sz w:val="22"/>
        </w:rPr>
      </w:pPr>
      <w:r w:rsidRPr="00A56AE6">
        <w:rPr>
          <w:rFonts w:ascii="Times New Roman" w:hAnsi="Times New Roman"/>
          <w:sz w:val="22"/>
        </w:rPr>
        <w:t>During the mature stage of the simulations, the effect of increasing aerosol concentration ranges from rain suppression in the PRESTORM case to little effect on surface rainfall in the CRYSTAL-FACE case to rain enhancement in the TOGA COARE case.</w:t>
      </w:r>
    </w:p>
    <w:p w:rsidR="00A56AE6" w:rsidRPr="00A56AE6" w:rsidRDefault="00A56AE6" w:rsidP="00A56AE6">
      <w:pPr>
        <w:numPr>
          <w:ilvl w:val="0"/>
          <w:numId w:val="1"/>
        </w:numPr>
        <w:tabs>
          <w:tab w:val="clear" w:pos="1080"/>
        </w:tabs>
        <w:ind w:left="360" w:right="-36" w:hanging="360"/>
        <w:jc w:val="both"/>
        <w:rPr>
          <w:rFonts w:ascii="Times New Roman" w:hAnsi="Times New Roman"/>
          <w:color w:val="000000"/>
          <w:sz w:val="22"/>
        </w:rPr>
      </w:pPr>
      <w:r w:rsidRPr="00A56AE6">
        <w:rPr>
          <w:rFonts w:ascii="Times New Roman" w:hAnsi="Times New Roman"/>
          <w:sz w:val="22"/>
        </w:rPr>
        <w:t>The model results suggest that evaporative cooling is a key process in determining whether higher CCN reduces or enhances precipitation</w:t>
      </w:r>
      <w:r w:rsidRPr="00A56AE6">
        <w:rPr>
          <w:rFonts w:ascii="Times New Roman" w:eastAsia="__ _____" w:hAnsi="Times New Roman"/>
          <w:color w:val="000000"/>
          <w:sz w:val="22"/>
        </w:rPr>
        <w:t xml:space="preserve">.  </w:t>
      </w:r>
      <w:r w:rsidRPr="00A56AE6">
        <w:rPr>
          <w:rFonts w:ascii="Times New Roman" w:hAnsi="Times New Roman"/>
          <w:sz w:val="22"/>
        </w:rPr>
        <w:t xml:space="preserve">Cold pool strength can be enhanced by </w:t>
      </w:r>
      <w:proofErr w:type="gramStart"/>
      <w:r w:rsidRPr="00A56AE6">
        <w:rPr>
          <w:rFonts w:ascii="Times New Roman" w:hAnsi="Times New Roman"/>
          <w:sz w:val="22"/>
        </w:rPr>
        <w:t>stronger</w:t>
      </w:r>
      <w:proofErr w:type="gramEnd"/>
      <w:r w:rsidRPr="00A56AE6">
        <w:rPr>
          <w:rFonts w:ascii="Times New Roman" w:hAnsi="Times New Roman"/>
          <w:sz w:val="22"/>
        </w:rPr>
        <w:t xml:space="preserve"> evaporation.  When cold pool interacts with the near surface wind shear, the low-level convergence can be stronger, facilitating secondary cloud formation and more vigorous precipitation processes. Evaporative cooling is more than two times stronger at low levels with higher CCN for the TOGA COARE </w:t>
      </w:r>
      <w:r w:rsidRPr="00A56AE6">
        <w:rPr>
          <w:rFonts w:ascii="Times New Roman" w:hAnsi="Times New Roman"/>
          <w:color w:val="000000"/>
          <w:sz w:val="22"/>
        </w:rPr>
        <w:t>case during the early stages of precipitation development.  However, evaporative cooling is slightly stronger at lower levels with lower CCN for the PRESTORM case.  The early formation of rain in the clean environment could allow for the formation of an earlier and stronger cold pool compared to a dirty environment.  PRESTORM has a very dry environment and both large and small rain droplets can evaporate.  Consequently, the cold pool is relatively weaker, and the system is relatively less intense with higher CCN.</w:t>
      </w:r>
    </w:p>
    <w:p w:rsidR="00A56AE6" w:rsidRPr="00A56AE6" w:rsidRDefault="00A56AE6" w:rsidP="00A56AE6">
      <w:pPr>
        <w:numPr>
          <w:ilvl w:val="0"/>
          <w:numId w:val="1"/>
        </w:numPr>
        <w:tabs>
          <w:tab w:val="clear" w:pos="1080"/>
        </w:tabs>
        <w:ind w:left="360" w:right="-36" w:hanging="360"/>
        <w:jc w:val="both"/>
        <w:rPr>
          <w:rFonts w:ascii="Times New Roman" w:hAnsi="Times New Roman"/>
          <w:sz w:val="22"/>
        </w:rPr>
      </w:pPr>
      <w:r w:rsidRPr="00A56AE6">
        <w:rPr>
          <w:rFonts w:ascii="Times New Roman" w:eastAsia="__ _____" w:hAnsi="Times New Roman"/>
          <w:color w:val="000000"/>
          <w:sz w:val="22"/>
        </w:rPr>
        <w:t xml:space="preserve">Sensitivity tests are conducted to determine the impact of ice processes on aerosol-precipitation interaction.  The results suggested </w:t>
      </w:r>
      <w:r w:rsidRPr="00A56AE6">
        <w:rPr>
          <w:rFonts w:ascii="Times New Roman" w:hAnsi="Times New Roman"/>
          <w:sz w:val="22"/>
        </w:rPr>
        <w:t xml:space="preserve">that ice processes are crucial for suppressing precipitation due to high CCN for the PRESTORM case.  More and smaller ice particles are generated in the dirty case and transported to the trailing </w:t>
      </w:r>
      <w:proofErr w:type="spellStart"/>
      <w:r w:rsidRPr="00A56AE6">
        <w:rPr>
          <w:rFonts w:ascii="Times New Roman" w:hAnsi="Times New Roman"/>
          <w:sz w:val="22"/>
        </w:rPr>
        <w:t>stratiform</w:t>
      </w:r>
      <w:proofErr w:type="spellEnd"/>
      <w:r w:rsidRPr="00A56AE6">
        <w:rPr>
          <w:rFonts w:ascii="Times New Roman" w:hAnsi="Times New Roman"/>
          <w:sz w:val="22"/>
        </w:rPr>
        <w:t xml:space="preserve"> region.  This reduces the heavy convective rain and contributes to the weakening of the cold pool.  Warm rain processes dominate the TOGA COARE case.  Therefore, ice processes only play a secondary role in terms of aerosol-precipitation interaction.</w:t>
      </w:r>
    </w:p>
    <w:p w:rsidR="00A56AE6" w:rsidRPr="00A56AE6" w:rsidRDefault="00A56AE6" w:rsidP="00A56AE6">
      <w:pPr>
        <w:numPr>
          <w:ilvl w:val="0"/>
          <w:numId w:val="1"/>
        </w:numPr>
        <w:tabs>
          <w:tab w:val="clear" w:pos="1080"/>
        </w:tabs>
        <w:ind w:left="360" w:right="-36" w:hanging="360"/>
        <w:jc w:val="both"/>
        <w:rPr>
          <w:rFonts w:ascii="Times New Roman" w:hAnsi="Times New Roman"/>
          <w:sz w:val="22"/>
        </w:rPr>
      </w:pPr>
      <w:r w:rsidRPr="00A56AE6">
        <w:rPr>
          <w:rFonts w:ascii="Times New Roman" w:hAnsi="Times New Roman"/>
          <w:sz w:val="22"/>
        </w:rPr>
        <w:t>Two of the three cloud systems presented in this paper formed a line structure (squall system).  A 2D simulation, therefore, gives a good approximation to such a line of convective clouds.  Since the real atmosphere is 3D, further 3D cloud-resolving simulations are needed to address aerosol-precipitation interactions.</w:t>
      </w:r>
    </w:p>
    <w:p w:rsidR="003C7322" w:rsidRDefault="003C7322" w:rsidP="003C7322">
      <w:pPr>
        <w:pStyle w:val="BodyText2"/>
        <w:tabs>
          <w:tab w:val="left" w:pos="360"/>
        </w:tabs>
        <w:rPr>
          <w:rFonts w:ascii="Times" w:hAnsi="Times"/>
          <w:b/>
        </w:rPr>
      </w:pPr>
    </w:p>
    <w:p w:rsidR="003C7322" w:rsidRPr="003C7322" w:rsidRDefault="003C7322" w:rsidP="003C7322">
      <w:pPr>
        <w:pStyle w:val="BodyText2"/>
        <w:tabs>
          <w:tab w:val="left" w:pos="360"/>
        </w:tabs>
        <w:rPr>
          <w:rFonts w:ascii="Times New Roman" w:hAnsi="Times New Roman"/>
          <w:b/>
          <w:sz w:val="22"/>
        </w:rPr>
      </w:pPr>
      <w:r w:rsidRPr="003C7322">
        <w:rPr>
          <w:rFonts w:ascii="Times New Roman" w:hAnsi="Times New Roman"/>
          <w:b/>
          <w:sz w:val="22"/>
        </w:rPr>
        <w:t>4.</w:t>
      </w:r>
      <w:r w:rsidRPr="003C7322">
        <w:rPr>
          <w:rFonts w:ascii="Times New Roman" w:hAnsi="Times New Roman"/>
          <w:b/>
          <w:sz w:val="22"/>
        </w:rPr>
        <w:tab/>
        <w:t>REFERENCES</w:t>
      </w:r>
    </w:p>
    <w:p w:rsidR="003C7322" w:rsidRPr="003C7322" w:rsidRDefault="003C7322" w:rsidP="003C7322">
      <w:pPr>
        <w:pStyle w:val="BodyText2"/>
        <w:ind w:left="360"/>
        <w:rPr>
          <w:rFonts w:ascii="Times New Roman" w:hAnsi="Times New Roman"/>
          <w:sz w:val="22"/>
        </w:rPr>
      </w:pPr>
    </w:p>
    <w:p w:rsidR="003C7322" w:rsidRPr="003C7322" w:rsidRDefault="003C7322" w:rsidP="003C7322">
      <w:pPr>
        <w:pStyle w:val="BodyText2"/>
        <w:rPr>
          <w:rFonts w:ascii="Times New Roman" w:hAnsi="Times New Roman"/>
          <w:b/>
          <w:sz w:val="22"/>
        </w:rPr>
      </w:pPr>
      <w:r w:rsidRPr="003C7322">
        <w:rPr>
          <w:rFonts w:ascii="Times New Roman" w:hAnsi="Times New Roman"/>
          <w:sz w:val="22"/>
        </w:rPr>
        <w:t>Tao, W</w:t>
      </w:r>
      <w:proofErr w:type="gramStart"/>
      <w:r w:rsidRPr="003C7322">
        <w:rPr>
          <w:rFonts w:ascii="Times New Roman" w:hAnsi="Times New Roman"/>
          <w:sz w:val="22"/>
        </w:rPr>
        <w:t>.-</w:t>
      </w:r>
      <w:proofErr w:type="gramEnd"/>
      <w:r w:rsidRPr="003C7322">
        <w:rPr>
          <w:rFonts w:ascii="Times New Roman" w:hAnsi="Times New Roman"/>
          <w:sz w:val="22"/>
        </w:rPr>
        <w:t xml:space="preserve">K., X. Li, A. </w:t>
      </w:r>
      <w:proofErr w:type="spellStart"/>
      <w:r w:rsidRPr="003C7322">
        <w:rPr>
          <w:rFonts w:ascii="Times New Roman" w:hAnsi="Times New Roman"/>
          <w:sz w:val="22"/>
        </w:rPr>
        <w:t>Khain</w:t>
      </w:r>
      <w:proofErr w:type="spellEnd"/>
      <w:r w:rsidRPr="003C7322">
        <w:rPr>
          <w:rFonts w:ascii="Times New Roman" w:hAnsi="Times New Roman"/>
          <w:sz w:val="22"/>
        </w:rPr>
        <w:t>, T. Matsui, S. Lang, and J. Simpson, 2007: The role of atmospheric aerosol concentration on deep convective precipitation: Cloud-resolving model simulations</w:t>
      </w:r>
      <w:r w:rsidRPr="003C7322">
        <w:rPr>
          <w:rFonts w:ascii="Times New Roman" w:hAnsi="Times New Roman"/>
          <w:i/>
          <w:sz w:val="22"/>
        </w:rPr>
        <w:t xml:space="preserve">. J. </w:t>
      </w:r>
      <w:proofErr w:type="spellStart"/>
      <w:r w:rsidRPr="003C7322">
        <w:rPr>
          <w:rFonts w:ascii="Times New Roman" w:hAnsi="Times New Roman"/>
          <w:i/>
          <w:sz w:val="22"/>
        </w:rPr>
        <w:t>Geophy</w:t>
      </w:r>
      <w:proofErr w:type="spellEnd"/>
      <w:r w:rsidRPr="003C7322">
        <w:rPr>
          <w:rFonts w:ascii="Times New Roman" w:hAnsi="Times New Roman"/>
          <w:sz w:val="22"/>
        </w:rPr>
        <w:t xml:space="preserve">. </w:t>
      </w:r>
      <w:r w:rsidRPr="003C7322">
        <w:rPr>
          <w:rFonts w:ascii="Times New Roman" w:hAnsi="Times New Roman"/>
          <w:i/>
          <w:sz w:val="22"/>
        </w:rPr>
        <w:t>Res</w:t>
      </w:r>
      <w:r w:rsidRPr="003C7322">
        <w:rPr>
          <w:rFonts w:ascii="Times New Roman" w:hAnsi="Times New Roman"/>
          <w:sz w:val="22"/>
        </w:rPr>
        <w:t>.</w:t>
      </w:r>
      <w:r w:rsidRPr="003C7322">
        <w:rPr>
          <w:rFonts w:ascii="Times New Roman" w:hAnsi="Times New Roman"/>
          <w:i/>
          <w:sz w:val="22"/>
        </w:rPr>
        <w:t>,</w:t>
      </w:r>
      <w:r w:rsidRPr="003C7322">
        <w:rPr>
          <w:rFonts w:ascii="Times New Roman" w:hAnsi="Times New Roman"/>
          <w:sz w:val="22"/>
        </w:rPr>
        <w:t xml:space="preserve"> </w:t>
      </w:r>
      <w:r w:rsidRPr="003C7322">
        <w:rPr>
          <w:rFonts w:ascii="Times New Roman" w:hAnsi="Times New Roman"/>
          <w:b/>
          <w:sz w:val="22"/>
        </w:rPr>
        <w:t>112</w:t>
      </w:r>
      <w:r w:rsidRPr="003C7322">
        <w:rPr>
          <w:rFonts w:ascii="Times New Roman" w:hAnsi="Times New Roman"/>
          <w:sz w:val="22"/>
        </w:rPr>
        <w:t>, D24S18, doi</w:t>
      </w:r>
      <w:proofErr w:type="gramStart"/>
      <w:r w:rsidRPr="003C7322">
        <w:rPr>
          <w:rFonts w:ascii="Times New Roman" w:hAnsi="Times New Roman"/>
          <w:sz w:val="22"/>
        </w:rPr>
        <w:t>:10.1029</w:t>
      </w:r>
      <w:proofErr w:type="gramEnd"/>
      <w:r w:rsidRPr="003C7322">
        <w:rPr>
          <w:rFonts w:ascii="Times New Roman" w:hAnsi="Times New Roman"/>
          <w:sz w:val="22"/>
        </w:rPr>
        <w:t>/2007JD008728.</w:t>
      </w:r>
    </w:p>
    <w:p w:rsidR="003C7322" w:rsidRPr="003C7322" w:rsidRDefault="003C7322" w:rsidP="003C7322">
      <w:pPr>
        <w:ind w:right="-180"/>
        <w:jc w:val="both"/>
        <w:rPr>
          <w:rFonts w:ascii="Times New Roman" w:hAnsi="Times New Roman"/>
          <w:sz w:val="22"/>
        </w:rPr>
      </w:pPr>
    </w:p>
    <w:p w:rsidR="003C7322" w:rsidRPr="003C7322" w:rsidRDefault="003C7322" w:rsidP="003C7322">
      <w:pPr>
        <w:ind w:right="-180"/>
        <w:jc w:val="both"/>
        <w:rPr>
          <w:rFonts w:ascii="Times New Roman" w:hAnsi="Times New Roman"/>
          <w:sz w:val="22"/>
        </w:rPr>
      </w:pPr>
      <w:r w:rsidRPr="003C7322">
        <w:rPr>
          <w:rFonts w:ascii="Times New Roman" w:hAnsi="Times New Roman"/>
          <w:sz w:val="22"/>
        </w:rPr>
        <w:t>All other references can be found in above paper.</w:t>
      </w:r>
    </w:p>
    <w:p w:rsidR="003C7322" w:rsidRPr="003C7322" w:rsidRDefault="003C7322" w:rsidP="003C7322">
      <w:pPr>
        <w:pStyle w:val="BodyText2"/>
        <w:rPr>
          <w:rFonts w:ascii="Times New Roman" w:hAnsi="Times New Roman"/>
          <w:b/>
          <w:sz w:val="22"/>
        </w:rPr>
      </w:pPr>
    </w:p>
    <w:p w:rsidR="003C7322" w:rsidRPr="003C7322" w:rsidRDefault="003C7322" w:rsidP="003C7322">
      <w:pPr>
        <w:pStyle w:val="BodyText2"/>
        <w:rPr>
          <w:rFonts w:ascii="Times New Roman" w:hAnsi="Times New Roman"/>
          <w:b/>
          <w:sz w:val="22"/>
        </w:rPr>
      </w:pPr>
      <w:r w:rsidRPr="003C7322">
        <w:rPr>
          <w:rFonts w:ascii="Times New Roman" w:hAnsi="Times New Roman"/>
          <w:b/>
          <w:sz w:val="22"/>
        </w:rPr>
        <w:t xml:space="preserve">5.  </w:t>
      </w:r>
      <w:r w:rsidRPr="003C7322">
        <w:rPr>
          <w:rFonts w:ascii="Times New Roman" w:hAnsi="Times New Roman"/>
          <w:b/>
          <w:sz w:val="22"/>
        </w:rPr>
        <w:tab/>
        <w:t>Acknowledgements</w:t>
      </w:r>
    </w:p>
    <w:p w:rsidR="003C7322" w:rsidRPr="003C7322" w:rsidRDefault="003C7322" w:rsidP="003C7322">
      <w:pPr>
        <w:pStyle w:val="BodyText2"/>
        <w:rPr>
          <w:rFonts w:ascii="Times New Roman" w:hAnsi="Times New Roman"/>
          <w:b/>
          <w:sz w:val="22"/>
        </w:rPr>
      </w:pPr>
    </w:p>
    <w:p w:rsidR="003C7322" w:rsidRPr="003C7322" w:rsidRDefault="003C7322" w:rsidP="003C7322">
      <w:pPr>
        <w:pStyle w:val="BodyText2"/>
        <w:rPr>
          <w:rFonts w:ascii="Times New Roman" w:hAnsi="Times New Roman"/>
          <w:b/>
          <w:sz w:val="22"/>
        </w:rPr>
      </w:pPr>
      <w:r w:rsidRPr="003C7322">
        <w:rPr>
          <w:rFonts w:ascii="Times New Roman" w:hAnsi="Times New Roman"/>
          <w:sz w:val="22"/>
        </w:rPr>
        <w:t xml:space="preserve">The </w:t>
      </w:r>
      <w:proofErr w:type="gramStart"/>
      <w:r w:rsidRPr="003C7322">
        <w:rPr>
          <w:rFonts w:ascii="Times New Roman" w:hAnsi="Times New Roman"/>
          <w:sz w:val="22"/>
        </w:rPr>
        <w:t>GCE model is mainly supported by the NASA Headquarters Atmospheric Dynamics and Thermodynamics Program and the NASA Tropical Rainfall Measuring Mission (TRMM</w:t>
      </w:r>
      <w:r w:rsidR="002570DD">
        <w:rPr>
          <w:rFonts w:ascii="Times New Roman" w:hAnsi="Times New Roman"/>
          <w:sz w:val="22"/>
        </w:rPr>
        <w:t>)</w:t>
      </w:r>
      <w:proofErr w:type="gramEnd"/>
      <w:r w:rsidR="002570DD">
        <w:rPr>
          <w:rFonts w:ascii="Times New Roman" w:hAnsi="Times New Roman"/>
          <w:sz w:val="22"/>
        </w:rPr>
        <w:t xml:space="preserve">. </w:t>
      </w:r>
      <w:r w:rsidRPr="003C7322">
        <w:rPr>
          <w:rFonts w:ascii="Times New Roman" w:hAnsi="Times New Roman"/>
          <w:sz w:val="22"/>
        </w:rPr>
        <w:t xml:space="preserve"> The </w:t>
      </w:r>
      <w:proofErr w:type="gramStart"/>
      <w:r w:rsidRPr="003C7322">
        <w:rPr>
          <w:rFonts w:ascii="Times New Roman" w:hAnsi="Times New Roman"/>
          <w:sz w:val="22"/>
        </w:rPr>
        <w:t>research was also supported by the Office of Science (BER)</w:t>
      </w:r>
      <w:proofErr w:type="gramEnd"/>
      <w:r w:rsidRPr="003C7322">
        <w:rPr>
          <w:rFonts w:ascii="Times New Roman" w:hAnsi="Times New Roman"/>
          <w:sz w:val="22"/>
        </w:rPr>
        <w:t>, U. S. Department of Energy/Atmospheric Radiation Me</w:t>
      </w:r>
      <w:r w:rsidR="002570DD">
        <w:rPr>
          <w:rFonts w:ascii="Times New Roman" w:hAnsi="Times New Roman"/>
          <w:sz w:val="22"/>
        </w:rPr>
        <w:t xml:space="preserve">asurement (DOE/ARM) Interagency.  </w:t>
      </w:r>
      <w:r w:rsidRPr="003C7322">
        <w:rPr>
          <w:rFonts w:ascii="Times New Roman" w:hAnsi="Times New Roman"/>
          <w:sz w:val="22"/>
        </w:rPr>
        <w:t>The authors acknowledge NASA Goddard Space Flight Center for computer time used in this research.</w:t>
      </w:r>
    </w:p>
    <w:p w:rsidR="00814E20" w:rsidRPr="003C7322" w:rsidRDefault="00814E20" w:rsidP="003C7322">
      <w:pPr>
        <w:rPr>
          <w:rFonts w:ascii="Times New Roman" w:hAnsi="Times New Roman"/>
          <w:sz w:val="22"/>
          <w:szCs w:val="24"/>
        </w:rPr>
      </w:pPr>
    </w:p>
    <w:sectPr w:rsidR="00814E20" w:rsidRPr="003C7322" w:rsidSect="00814E20">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ms Rmn">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New York">
    <w:altName w:val="Times New Roman"/>
    <w:panose1 w:val="02020502060305060204"/>
    <w:charset w:val="4D"/>
    <w:family w:val="roman"/>
    <w:notTrueType/>
    <w:pitch w:val="variable"/>
    <w:sig w:usb0="00000003" w:usb1="00000000" w:usb2="00000000" w:usb3="00000000" w:csb0="00000001" w:csb1="00000000"/>
  </w:font>
  <w:font w:name="__ _____">
    <w:panose1 w:val="00000000000000000000"/>
    <w:charset w:val="4D"/>
    <w:family w:val="roman"/>
    <w:notTrueType/>
    <w:pitch w:val="default"/>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B097B"/>
    <w:multiLevelType w:val="hybridMultilevel"/>
    <w:tmpl w:val="379E04CC"/>
    <w:lvl w:ilvl="0" w:tplc="35463464">
      <w:start w:val="5"/>
      <w:numFmt w:val="bullet"/>
      <w:lvlText w:val=""/>
      <w:lvlJc w:val="left"/>
      <w:pPr>
        <w:tabs>
          <w:tab w:val="num" w:pos="1080"/>
        </w:tabs>
        <w:ind w:left="1080" w:hanging="720"/>
      </w:pPr>
      <w:rPr>
        <w:rFonts w:ascii="Symbol" w:eastAsia="Times New Roman" w:hAnsi="Symbol" w:hint="default"/>
        <w:w w:val="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4A67A2"/>
    <w:rsid w:val="00116E83"/>
    <w:rsid w:val="00195B40"/>
    <w:rsid w:val="00210900"/>
    <w:rsid w:val="002570DD"/>
    <w:rsid w:val="002B34AB"/>
    <w:rsid w:val="003C7322"/>
    <w:rsid w:val="00435E9D"/>
    <w:rsid w:val="004818A2"/>
    <w:rsid w:val="004A67A2"/>
    <w:rsid w:val="004F3055"/>
    <w:rsid w:val="005977EE"/>
    <w:rsid w:val="005F49A9"/>
    <w:rsid w:val="0064503B"/>
    <w:rsid w:val="007535BA"/>
    <w:rsid w:val="007E2CB8"/>
    <w:rsid w:val="00814E20"/>
    <w:rsid w:val="008A56DB"/>
    <w:rsid w:val="008E60C1"/>
    <w:rsid w:val="00977975"/>
    <w:rsid w:val="00977AE2"/>
    <w:rsid w:val="00A56AE6"/>
    <w:rsid w:val="00B61022"/>
    <w:rsid w:val="00F90C1A"/>
    <w:rsid w:val="00FE0360"/>
  </w:rsids>
  <m:mathPr>
    <m:mathFont m:val="SimSun"/>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F84"/>
    <w:rPr>
      <w:sz w:val="24"/>
    </w:rPr>
  </w:style>
  <w:style w:type="paragraph" w:styleId="Heading1">
    <w:name w:val="heading 1"/>
    <w:basedOn w:val="Normal"/>
    <w:next w:val="Normal"/>
    <w:link w:val="Heading1Char"/>
    <w:qFormat/>
    <w:rsid w:val="00977AE2"/>
    <w:pPr>
      <w:keepNext/>
      <w:tabs>
        <w:tab w:val="left" w:pos="9539"/>
      </w:tabs>
      <w:spacing w:before="240" w:after="80"/>
      <w:ind w:left="720" w:hanging="540"/>
      <w:outlineLvl w:val="0"/>
    </w:pPr>
    <w:rPr>
      <w:rFonts w:ascii="Times" w:eastAsia="Times New Roman" w:hAnsi="Times" w:cs="Tms Rmn"/>
      <w:b/>
      <w:caps/>
      <w:sz w:val="2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977AE2"/>
    <w:rPr>
      <w:rFonts w:ascii="Times" w:eastAsia="Times New Roman" w:hAnsi="Times" w:cs="Tms Rmn"/>
      <w:b/>
      <w:caps/>
      <w:sz w:val="28"/>
    </w:rPr>
  </w:style>
  <w:style w:type="paragraph" w:styleId="BodyText2">
    <w:name w:val="Body Text 2"/>
    <w:basedOn w:val="Normal"/>
    <w:link w:val="BodyText2Char"/>
    <w:rsid w:val="00977AE2"/>
    <w:pPr>
      <w:jc w:val="both"/>
    </w:pPr>
    <w:rPr>
      <w:rFonts w:ascii="Arial" w:eastAsia="Times New Roman" w:hAnsi="Arial" w:cs="Tms Rmn"/>
      <w:sz w:val="18"/>
    </w:rPr>
  </w:style>
  <w:style w:type="character" w:customStyle="1" w:styleId="BodyText2Char">
    <w:name w:val="Body Text 2 Char"/>
    <w:basedOn w:val="DefaultParagraphFont"/>
    <w:link w:val="BodyText2"/>
    <w:rsid w:val="00977AE2"/>
    <w:rPr>
      <w:rFonts w:ascii="Arial" w:eastAsia="Times New Roman" w:hAnsi="Arial" w:cs="Tms Rmn"/>
      <w:sz w:val="18"/>
    </w:rPr>
  </w:style>
  <w:style w:type="paragraph" w:customStyle="1" w:styleId="Footnotete">
    <w:name w:val="Footnote te"/>
    <w:basedOn w:val="Normal"/>
    <w:rsid w:val="00977AE2"/>
    <w:pPr>
      <w:jc w:val="both"/>
    </w:pPr>
    <w:rPr>
      <w:rFonts w:ascii="Times" w:eastAsia="Times New Roman" w:hAnsi="Times" w:cs="Times New Roman"/>
      <w:sz w:val="20"/>
    </w:rPr>
  </w:style>
  <w:style w:type="character" w:styleId="FootnoteReference">
    <w:name w:val="footnote reference"/>
    <w:basedOn w:val="DefaultParagraphFont"/>
    <w:rsid w:val="00195B40"/>
    <w:rPr>
      <w:vertAlign w:val="superscript"/>
    </w:rPr>
  </w:style>
  <w:style w:type="paragraph" w:styleId="Caption">
    <w:name w:val="caption"/>
    <w:basedOn w:val="Normal"/>
    <w:next w:val="Normal"/>
    <w:qFormat/>
    <w:rsid w:val="00977975"/>
    <w:pPr>
      <w:spacing w:before="120" w:after="120"/>
    </w:pPr>
    <w:rPr>
      <w:rFonts w:ascii="New York" w:eastAsia="Times New Roman" w:hAnsi="New York" w:cs="Times New Roman"/>
      <w:b/>
    </w:rPr>
  </w:style>
  <w:style w:type="paragraph" w:styleId="FootnoteText">
    <w:name w:val="footnote text"/>
    <w:basedOn w:val="Normal"/>
    <w:link w:val="FootnoteTextChar"/>
    <w:rsid w:val="00A56AE6"/>
    <w:rPr>
      <w:rFonts w:ascii="New York" w:eastAsia="Times New Roman" w:hAnsi="New York" w:cs="Times New Roman"/>
      <w:sz w:val="20"/>
    </w:rPr>
  </w:style>
  <w:style w:type="character" w:customStyle="1" w:styleId="FootnoteTextChar">
    <w:name w:val="Footnote Text Char"/>
    <w:basedOn w:val="DefaultParagraphFont"/>
    <w:link w:val="FootnoteText"/>
    <w:rsid w:val="00A56AE6"/>
    <w:rPr>
      <w:rFonts w:ascii="New York" w:eastAsia="Times New Roman" w:hAnsi="New York" w:cs="Times New Roman"/>
    </w:rPr>
  </w:style>
  <w:style w:type="paragraph" w:styleId="ListParagraph">
    <w:name w:val="List Paragraph"/>
    <w:basedOn w:val="Normal"/>
    <w:uiPriority w:val="34"/>
    <w:qFormat/>
    <w:rsid w:val="003C732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2810</TotalTime>
  <Pages>3</Pages>
  <Words>1379</Words>
  <Characters>7865</Characters>
  <Application>Microsoft Macintosh Word</Application>
  <DocSecurity>0</DocSecurity>
  <Lines>65</Lines>
  <Paragraphs>15</Paragraphs>
  <ScaleCrop>false</ScaleCrop>
  <Company>SSAI/NASA GSFC</Company>
  <LinksUpToDate>false</LinksUpToDate>
  <CharactersWithSpaces>9658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Wei-Kuo Tao</cp:lastModifiedBy>
  <cp:revision>17</cp:revision>
  <dcterms:created xsi:type="dcterms:W3CDTF">2013-09-30T15:52:00Z</dcterms:created>
  <dcterms:modified xsi:type="dcterms:W3CDTF">2014-05-12T13:43:00Z</dcterms:modified>
</cp:coreProperties>
</file>